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05D4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E9BBAA8" wp14:editId="3754C4D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6D6606" w:rsidP="00305D42">
            <w:pPr>
              <w:jc w:val="center"/>
              <w:rPr>
                <w:b/>
                <w:szCs w:val="22"/>
              </w:rPr>
            </w:pPr>
            <w:r>
              <w:rPr>
                <w:b/>
                <w:szCs w:val="22"/>
              </w:rPr>
              <w:t>Cabinet</w:t>
            </w:r>
          </w:p>
        </w:tc>
        <w:tc>
          <w:tcPr>
            <w:tcW w:w="2268" w:type="dxa"/>
            <w:gridSpan w:val="2"/>
            <w:tcBorders>
              <w:bottom w:val="nil"/>
            </w:tcBorders>
            <w:vAlign w:val="center"/>
          </w:tcPr>
          <w:p w:rsidR="002F5C5E" w:rsidRPr="00305D42" w:rsidRDefault="006D6606" w:rsidP="00125734">
            <w:pPr>
              <w:jc w:val="center"/>
              <w:rPr>
                <w:b/>
              </w:rPr>
            </w:pPr>
            <w:r>
              <w:rPr>
                <w:b/>
              </w:rPr>
              <w:t>19 June</w:t>
            </w:r>
            <w:r w:rsidR="00305D42" w:rsidRPr="00305D42">
              <w:rPr>
                <w:b/>
              </w:rPr>
              <w:t xml:space="preserve"> 201</w:t>
            </w:r>
            <w:r>
              <w:rPr>
                <w:b/>
              </w:rPr>
              <w:t>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Default="00305D42" w:rsidP="00125734">
            <w:pPr>
              <w:rPr>
                <w:rFonts w:cs="Arial"/>
                <w:b/>
                <w:snapToGrid w:val="0"/>
                <w:szCs w:val="22"/>
                <w:lang w:val="en-US"/>
              </w:rPr>
            </w:pPr>
            <w:r w:rsidRPr="00305D42">
              <w:rPr>
                <w:rFonts w:cs="Arial"/>
                <w:b/>
                <w:snapToGrid w:val="0"/>
                <w:szCs w:val="22"/>
                <w:lang w:val="en-US"/>
              </w:rPr>
              <w:t xml:space="preserve">South </w:t>
            </w:r>
            <w:proofErr w:type="spellStart"/>
            <w:r w:rsidRPr="00305D42">
              <w:rPr>
                <w:rFonts w:cs="Arial"/>
                <w:b/>
                <w:snapToGrid w:val="0"/>
                <w:szCs w:val="22"/>
                <w:lang w:val="en-US"/>
              </w:rPr>
              <w:t>Ribble</w:t>
            </w:r>
            <w:proofErr w:type="spellEnd"/>
            <w:r w:rsidRPr="00305D42">
              <w:rPr>
                <w:rFonts w:cs="Arial"/>
                <w:b/>
                <w:snapToGrid w:val="0"/>
                <w:szCs w:val="22"/>
                <w:lang w:val="en-US"/>
              </w:rPr>
              <w:t xml:space="preserve"> Borough Council</w:t>
            </w:r>
            <w:r w:rsidR="00125734">
              <w:rPr>
                <w:rFonts w:cs="Arial"/>
                <w:b/>
                <w:snapToGrid w:val="0"/>
                <w:szCs w:val="22"/>
                <w:lang w:val="en-US"/>
              </w:rPr>
              <w:t xml:space="preserve"> </w:t>
            </w:r>
            <w:bookmarkStart w:id="0" w:name="_GoBack"/>
            <w:bookmarkEnd w:id="0"/>
            <w:r w:rsidRPr="00305D42">
              <w:rPr>
                <w:rFonts w:cs="Arial"/>
                <w:b/>
                <w:snapToGrid w:val="0"/>
                <w:szCs w:val="22"/>
                <w:lang w:val="en-US"/>
              </w:rPr>
              <w:t>Budget Out-turn Report 201</w:t>
            </w:r>
            <w:r w:rsidR="006D6606">
              <w:rPr>
                <w:rFonts w:cs="Arial"/>
                <w:b/>
                <w:snapToGrid w:val="0"/>
                <w:szCs w:val="22"/>
                <w:lang w:val="en-US"/>
              </w:rPr>
              <w:t>8</w:t>
            </w:r>
            <w:r w:rsidRPr="00305D42">
              <w:rPr>
                <w:rFonts w:cs="Arial"/>
                <w:b/>
                <w:snapToGrid w:val="0"/>
                <w:szCs w:val="22"/>
                <w:lang w:val="en-US"/>
              </w:rPr>
              <w:t>/1</w:t>
            </w:r>
            <w:r w:rsidR="006D6606">
              <w:rPr>
                <w:rFonts w:cs="Arial"/>
                <w:b/>
                <w:snapToGrid w:val="0"/>
                <w:szCs w:val="22"/>
                <w:lang w:val="en-US"/>
              </w:rPr>
              <w:t>9</w:t>
            </w:r>
          </w:p>
          <w:p w:rsidR="00305D42" w:rsidRPr="009E2B84" w:rsidRDefault="00305D42" w:rsidP="00305D42">
            <w:pPr>
              <w:jc w:val="center"/>
              <w:rPr>
                <w:b/>
              </w:rPr>
            </w:pPr>
          </w:p>
        </w:tc>
        <w:tc>
          <w:tcPr>
            <w:tcW w:w="2977" w:type="dxa"/>
            <w:gridSpan w:val="2"/>
            <w:vAlign w:val="center"/>
          </w:tcPr>
          <w:p w:rsidR="0047741D" w:rsidRPr="00DF0088" w:rsidRDefault="00DF0088" w:rsidP="00125734">
            <w:pPr>
              <w:rPr>
                <w:b/>
                <w:i/>
              </w:rPr>
            </w:pPr>
            <w:r w:rsidRPr="00DF0088">
              <w:rPr>
                <w:rFonts w:cs="Arial"/>
                <w:b/>
                <w:color w:val="2E2D2D"/>
              </w:rPr>
              <w:t xml:space="preserve">Deputy </w:t>
            </w:r>
            <w:r w:rsidR="00602CF8">
              <w:rPr>
                <w:rFonts w:cs="Arial"/>
                <w:b/>
                <w:color w:val="2E2D2D"/>
              </w:rPr>
              <w:t>S</w:t>
            </w:r>
            <w:r w:rsidR="00125734">
              <w:rPr>
                <w:rFonts w:cs="Arial"/>
                <w:b/>
                <w:color w:val="2E2D2D"/>
              </w:rPr>
              <w:t>ection 1</w:t>
            </w:r>
            <w:r w:rsidR="00602CF8">
              <w:rPr>
                <w:rFonts w:cs="Arial"/>
                <w:b/>
                <w:color w:val="2E2D2D"/>
              </w:rPr>
              <w:t>51 Officer</w:t>
            </w:r>
            <w:r w:rsidRPr="00DF0088">
              <w:rPr>
                <w:rFonts w:cs="Arial"/>
                <w:b/>
                <w:color w:val="2E2D2D"/>
              </w:rPr>
              <w:t xml:space="preserve"> </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DF0088" w:rsidRDefault="00DF0088"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DF0088">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PURPOSE OF THE REPORT  </w:t>
      </w:r>
    </w:p>
    <w:p w:rsidR="000B5251" w:rsidRPr="000F15CE" w:rsidRDefault="000B5251" w:rsidP="000B5251">
      <w:pPr>
        <w:keepNext/>
        <w:ind w:left="360"/>
        <w:outlineLvl w:val="0"/>
        <w:rPr>
          <w:b/>
          <w:szCs w:val="22"/>
        </w:rPr>
      </w:pPr>
    </w:p>
    <w:p w:rsidR="00DF0088" w:rsidRPr="000F15CE" w:rsidRDefault="00DF0088" w:rsidP="00DF0088">
      <w:pPr>
        <w:spacing w:after="200" w:line="276" w:lineRule="auto"/>
        <w:contextualSpacing/>
        <w:jc w:val="both"/>
        <w:rPr>
          <w:rFonts w:eastAsia="Calibri" w:cs="Arial"/>
          <w:szCs w:val="22"/>
          <w:lang w:eastAsia="en-US"/>
        </w:rPr>
      </w:pPr>
      <w:r w:rsidRPr="000F15CE">
        <w:rPr>
          <w:rFonts w:eastAsia="Calibri" w:cs="Arial"/>
          <w:szCs w:val="22"/>
          <w:lang w:eastAsia="en-US"/>
        </w:rPr>
        <w:t xml:space="preserve">This report has been prepared to </w:t>
      </w:r>
      <w:r w:rsidR="000F15CE" w:rsidRPr="000F15CE">
        <w:rPr>
          <w:rFonts w:eastAsia="Calibri" w:cs="Arial"/>
          <w:szCs w:val="22"/>
          <w:lang w:eastAsia="en-US"/>
        </w:rPr>
        <w:t xml:space="preserve">inform </w:t>
      </w:r>
      <w:r w:rsidRPr="000F15CE">
        <w:rPr>
          <w:rFonts w:eastAsia="Calibri" w:cs="Arial"/>
          <w:szCs w:val="22"/>
          <w:lang w:eastAsia="en-US"/>
        </w:rPr>
        <w:t>members of the 201</w:t>
      </w:r>
      <w:r w:rsidR="006D6606" w:rsidRPr="000F15CE">
        <w:rPr>
          <w:rFonts w:eastAsia="Calibri" w:cs="Arial"/>
          <w:szCs w:val="22"/>
          <w:lang w:eastAsia="en-US"/>
        </w:rPr>
        <w:t>8</w:t>
      </w:r>
      <w:r w:rsidRPr="000F15CE">
        <w:rPr>
          <w:rFonts w:eastAsia="Calibri" w:cs="Arial"/>
          <w:szCs w:val="22"/>
          <w:lang w:eastAsia="en-US"/>
        </w:rPr>
        <w:t>/1</w:t>
      </w:r>
      <w:r w:rsidR="006D6606" w:rsidRPr="000F15CE">
        <w:rPr>
          <w:rFonts w:eastAsia="Calibri" w:cs="Arial"/>
          <w:szCs w:val="22"/>
          <w:lang w:eastAsia="en-US"/>
        </w:rPr>
        <w:t>9</w:t>
      </w:r>
      <w:r w:rsidRPr="000F15CE">
        <w:rPr>
          <w:rFonts w:eastAsia="Calibri" w:cs="Arial"/>
          <w:szCs w:val="22"/>
          <w:lang w:eastAsia="en-US"/>
        </w:rPr>
        <w:t xml:space="preserve"> Budget Outturn position in relation to both Revenue and Capital expenditure</w:t>
      </w:r>
      <w:r w:rsidR="000F15CE">
        <w:rPr>
          <w:rFonts w:eastAsia="Calibri" w:cs="Arial"/>
          <w:szCs w:val="22"/>
          <w:lang w:eastAsia="en-US"/>
        </w:rPr>
        <w:t>.</w:t>
      </w:r>
    </w:p>
    <w:p w:rsidR="002F5C5E" w:rsidRPr="000F15CE" w:rsidRDefault="002F5C5E" w:rsidP="002F5C5E">
      <w:pPr>
        <w:rPr>
          <w:sz w:val="16"/>
          <w:szCs w:val="16"/>
        </w:rPr>
      </w:pPr>
    </w:p>
    <w:p w:rsidR="002F5C5E" w:rsidRPr="009C1143" w:rsidRDefault="002F5C5E" w:rsidP="002F5C5E">
      <w:pPr>
        <w:rPr>
          <w:szCs w:val="22"/>
        </w:rPr>
      </w:pPr>
    </w:p>
    <w:p w:rsidR="002F5C5E" w:rsidRDefault="002F5C5E" w:rsidP="00D23B41">
      <w:pPr>
        <w:keepNext/>
        <w:numPr>
          <w:ilvl w:val="0"/>
          <w:numId w:val="1"/>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DF0088" w:rsidRPr="00662711" w:rsidRDefault="00525728" w:rsidP="00DF0088">
      <w:pPr>
        <w:pStyle w:val="BodyText"/>
        <w:jc w:val="left"/>
        <w:rPr>
          <w:rFonts w:ascii="Arial" w:hAnsi="Arial"/>
          <w:sz w:val="22"/>
        </w:rPr>
      </w:pPr>
      <w:r>
        <w:rPr>
          <w:i/>
          <w:color w:val="2E74B5"/>
          <w:szCs w:val="22"/>
        </w:rPr>
        <w:t xml:space="preserve"> </w:t>
      </w:r>
      <w:r w:rsidR="00DF0088" w:rsidRPr="00662711">
        <w:rPr>
          <w:rFonts w:ascii="Arial" w:hAnsi="Arial"/>
          <w:sz w:val="22"/>
        </w:rPr>
        <w:t xml:space="preserve">That the </w:t>
      </w:r>
      <w:r w:rsidR="006D6606">
        <w:rPr>
          <w:rFonts w:ascii="Arial" w:hAnsi="Arial"/>
          <w:sz w:val="22"/>
        </w:rPr>
        <w:t>Cabinet</w:t>
      </w:r>
      <w:r w:rsidR="00DF0088" w:rsidRPr="00662711">
        <w:rPr>
          <w:rFonts w:ascii="Arial" w:hAnsi="Arial"/>
          <w:sz w:val="22"/>
        </w:rPr>
        <w:t>:</w:t>
      </w:r>
    </w:p>
    <w:p w:rsidR="00DF0088" w:rsidRPr="006F5CC8" w:rsidRDefault="00DF0088" w:rsidP="00DF0088">
      <w:pPr>
        <w:pStyle w:val="BodyText"/>
        <w:jc w:val="left"/>
        <w:rPr>
          <w:rFonts w:ascii="Arial" w:hAnsi="Arial"/>
          <w:color w:val="FF0000"/>
          <w:sz w:val="22"/>
        </w:rPr>
      </w:pPr>
    </w:p>
    <w:p w:rsidR="00DF0088" w:rsidRPr="00125F43" w:rsidRDefault="00DF0088" w:rsidP="00D23B41">
      <w:pPr>
        <w:pStyle w:val="BodyText"/>
        <w:numPr>
          <w:ilvl w:val="0"/>
          <w:numId w:val="7"/>
        </w:numPr>
        <w:tabs>
          <w:tab w:val="num" w:pos="720"/>
        </w:tabs>
        <w:ind w:left="720"/>
        <w:rPr>
          <w:rFonts w:ascii="Arial" w:hAnsi="Arial"/>
          <w:sz w:val="22"/>
        </w:rPr>
      </w:pPr>
      <w:r w:rsidRPr="00125F43">
        <w:rPr>
          <w:rFonts w:ascii="Arial" w:hAnsi="Arial"/>
          <w:sz w:val="22"/>
        </w:rPr>
        <w:t>Note the contents of the report and appendices;</w:t>
      </w:r>
    </w:p>
    <w:p w:rsidR="00A334F2" w:rsidRPr="00AA267C" w:rsidRDefault="00DF0088" w:rsidP="00D23B41">
      <w:pPr>
        <w:pStyle w:val="BodyText"/>
        <w:numPr>
          <w:ilvl w:val="0"/>
          <w:numId w:val="7"/>
        </w:numPr>
        <w:tabs>
          <w:tab w:val="num" w:pos="720"/>
        </w:tabs>
        <w:ind w:left="720"/>
        <w:rPr>
          <w:rFonts w:ascii="Arial" w:hAnsi="Arial"/>
          <w:sz w:val="22"/>
        </w:rPr>
      </w:pPr>
      <w:r w:rsidRPr="000F15CE">
        <w:rPr>
          <w:rFonts w:ascii="Arial" w:hAnsi="Arial"/>
          <w:sz w:val="22"/>
        </w:rPr>
        <w:t xml:space="preserve">Note the </w:t>
      </w:r>
      <w:r w:rsidR="00A334F2" w:rsidRPr="000F15CE">
        <w:rPr>
          <w:rFonts w:ascii="Arial" w:hAnsi="Arial"/>
          <w:sz w:val="22"/>
        </w:rPr>
        <w:t>f</w:t>
      </w:r>
      <w:r w:rsidR="000C44B8" w:rsidRPr="000F15CE">
        <w:rPr>
          <w:rFonts w:ascii="Arial" w:hAnsi="Arial"/>
          <w:sz w:val="22"/>
        </w:rPr>
        <w:t xml:space="preserve">inal out turn position of </w:t>
      </w:r>
      <w:r w:rsidR="000C44B8" w:rsidRPr="00AA267C">
        <w:rPr>
          <w:rFonts w:ascii="Arial" w:hAnsi="Arial"/>
          <w:sz w:val="22"/>
        </w:rPr>
        <w:t>£0.</w:t>
      </w:r>
      <w:r w:rsidR="00AA267C" w:rsidRPr="00AA267C">
        <w:rPr>
          <w:rFonts w:ascii="Arial" w:hAnsi="Arial"/>
          <w:sz w:val="22"/>
        </w:rPr>
        <w:t xml:space="preserve">093m </w:t>
      </w:r>
      <w:r w:rsidR="00A334F2" w:rsidRPr="00AA267C">
        <w:rPr>
          <w:rFonts w:ascii="Arial" w:hAnsi="Arial"/>
          <w:sz w:val="22"/>
        </w:rPr>
        <w:t xml:space="preserve">underspend against </w:t>
      </w:r>
      <w:r w:rsidR="00A45392" w:rsidRPr="00AA267C">
        <w:rPr>
          <w:rFonts w:ascii="Arial" w:hAnsi="Arial"/>
          <w:sz w:val="22"/>
        </w:rPr>
        <w:t xml:space="preserve">the </w:t>
      </w:r>
      <w:r w:rsidR="00AA267C">
        <w:rPr>
          <w:rFonts w:ascii="Arial" w:hAnsi="Arial"/>
          <w:sz w:val="22"/>
        </w:rPr>
        <w:t xml:space="preserve">revised </w:t>
      </w:r>
      <w:r w:rsidR="00551A34" w:rsidRPr="00AA267C">
        <w:rPr>
          <w:rFonts w:ascii="Arial" w:hAnsi="Arial"/>
          <w:sz w:val="22"/>
        </w:rPr>
        <w:t>revenue</w:t>
      </w:r>
      <w:r w:rsidR="00A334F2" w:rsidRPr="00AA267C">
        <w:rPr>
          <w:rFonts w:ascii="Arial" w:hAnsi="Arial"/>
          <w:sz w:val="22"/>
        </w:rPr>
        <w:t xml:space="preserve"> budget of £</w:t>
      </w:r>
      <w:r w:rsidR="000C44B8" w:rsidRPr="00AA267C">
        <w:rPr>
          <w:rFonts w:ascii="Arial" w:hAnsi="Arial"/>
          <w:sz w:val="22"/>
        </w:rPr>
        <w:t>1</w:t>
      </w:r>
      <w:r w:rsidR="00AA267C" w:rsidRPr="00AA267C">
        <w:rPr>
          <w:rFonts w:ascii="Arial" w:hAnsi="Arial"/>
          <w:sz w:val="22"/>
        </w:rPr>
        <w:t>4</w:t>
      </w:r>
      <w:r w:rsidR="000C44B8" w:rsidRPr="00AA267C">
        <w:rPr>
          <w:rFonts w:ascii="Arial" w:hAnsi="Arial"/>
          <w:sz w:val="22"/>
        </w:rPr>
        <w:t>.</w:t>
      </w:r>
      <w:r w:rsidR="00176FCA">
        <w:rPr>
          <w:rFonts w:ascii="Arial" w:hAnsi="Arial"/>
          <w:sz w:val="22"/>
        </w:rPr>
        <w:t>135</w:t>
      </w:r>
      <w:r w:rsidR="00832DCE" w:rsidRPr="00AA267C">
        <w:rPr>
          <w:rFonts w:ascii="Arial" w:hAnsi="Arial"/>
          <w:sz w:val="22"/>
        </w:rPr>
        <w:t>m</w:t>
      </w:r>
      <w:r w:rsidR="008C3B42" w:rsidRPr="00AA267C">
        <w:rPr>
          <w:rFonts w:ascii="Arial" w:hAnsi="Arial"/>
          <w:sz w:val="22"/>
        </w:rPr>
        <w:t xml:space="preserve"> </w:t>
      </w:r>
      <w:r w:rsidR="00A334F2" w:rsidRPr="00AA267C">
        <w:rPr>
          <w:rFonts w:ascii="Arial" w:hAnsi="Arial"/>
          <w:sz w:val="22"/>
        </w:rPr>
        <w:t>and the key variances;</w:t>
      </w:r>
    </w:p>
    <w:p w:rsidR="00DF0088" w:rsidRPr="00AA267C" w:rsidRDefault="00A334F2" w:rsidP="00D23B41">
      <w:pPr>
        <w:pStyle w:val="BodyText"/>
        <w:numPr>
          <w:ilvl w:val="0"/>
          <w:numId w:val="7"/>
        </w:numPr>
        <w:tabs>
          <w:tab w:val="num" w:pos="720"/>
        </w:tabs>
        <w:ind w:left="720"/>
        <w:rPr>
          <w:rFonts w:ascii="Arial" w:hAnsi="Arial"/>
          <w:sz w:val="22"/>
        </w:rPr>
      </w:pPr>
      <w:r w:rsidRPr="00AA267C">
        <w:rPr>
          <w:rFonts w:ascii="Arial" w:hAnsi="Arial"/>
          <w:sz w:val="22"/>
        </w:rPr>
        <w:t>Note the final out turn position on the capital budget of £</w:t>
      </w:r>
      <w:r w:rsidR="00D341CC" w:rsidRPr="00AA267C">
        <w:rPr>
          <w:rFonts w:ascii="Arial" w:hAnsi="Arial"/>
          <w:sz w:val="22"/>
        </w:rPr>
        <w:t>0.</w:t>
      </w:r>
      <w:r w:rsidR="00AA267C">
        <w:rPr>
          <w:rFonts w:ascii="Arial" w:hAnsi="Arial"/>
          <w:sz w:val="22"/>
        </w:rPr>
        <w:t>476</w:t>
      </w:r>
      <w:r w:rsidR="00D341CC" w:rsidRPr="00AA267C">
        <w:rPr>
          <w:rFonts w:ascii="Arial" w:hAnsi="Arial"/>
          <w:sz w:val="22"/>
        </w:rPr>
        <w:t xml:space="preserve">m </w:t>
      </w:r>
      <w:r w:rsidRPr="00AA267C">
        <w:rPr>
          <w:rFonts w:ascii="Arial" w:hAnsi="Arial"/>
          <w:sz w:val="22"/>
        </w:rPr>
        <w:t>underspend against an annual budget of £</w:t>
      </w:r>
      <w:r w:rsidR="00D341CC" w:rsidRPr="00AA267C">
        <w:rPr>
          <w:rFonts w:ascii="Arial" w:hAnsi="Arial"/>
          <w:sz w:val="22"/>
        </w:rPr>
        <w:t>2.</w:t>
      </w:r>
      <w:r w:rsidR="00AA267C">
        <w:rPr>
          <w:rFonts w:ascii="Arial" w:hAnsi="Arial"/>
          <w:sz w:val="22"/>
        </w:rPr>
        <w:t>898</w:t>
      </w:r>
      <w:r w:rsidR="00D341CC" w:rsidRPr="00AA267C">
        <w:rPr>
          <w:rFonts w:ascii="Arial" w:hAnsi="Arial"/>
          <w:sz w:val="22"/>
        </w:rPr>
        <w:t>m</w:t>
      </w:r>
      <w:r w:rsidRPr="00AA267C">
        <w:rPr>
          <w:rFonts w:ascii="Arial" w:hAnsi="Arial"/>
          <w:sz w:val="22"/>
        </w:rPr>
        <w:t xml:space="preserve">; </w:t>
      </w:r>
      <w:r w:rsidR="00101E9B" w:rsidRPr="00AA267C">
        <w:rPr>
          <w:rFonts w:ascii="Arial" w:hAnsi="Arial"/>
          <w:sz w:val="22"/>
        </w:rPr>
        <w:t xml:space="preserve"> </w:t>
      </w:r>
    </w:p>
    <w:p w:rsidR="00DF0088" w:rsidRPr="00AA267C" w:rsidRDefault="00CF230A" w:rsidP="00D23B41">
      <w:pPr>
        <w:pStyle w:val="BodyText"/>
        <w:numPr>
          <w:ilvl w:val="0"/>
          <w:numId w:val="7"/>
        </w:numPr>
        <w:tabs>
          <w:tab w:val="num" w:pos="720"/>
        </w:tabs>
        <w:ind w:left="720"/>
        <w:rPr>
          <w:rFonts w:ascii="Arial" w:hAnsi="Arial"/>
          <w:sz w:val="22"/>
        </w:rPr>
      </w:pPr>
      <w:r w:rsidRPr="00AA267C">
        <w:rPr>
          <w:rFonts w:ascii="Arial" w:hAnsi="Arial"/>
          <w:sz w:val="22"/>
        </w:rPr>
        <w:t>Note</w:t>
      </w:r>
      <w:r w:rsidR="00DF0088" w:rsidRPr="00AA267C">
        <w:rPr>
          <w:rFonts w:ascii="Arial" w:hAnsi="Arial"/>
          <w:sz w:val="22"/>
        </w:rPr>
        <w:t xml:space="preserve"> the financing of the capital programme for 201</w:t>
      </w:r>
      <w:r w:rsidR="00AA267C" w:rsidRPr="00AA267C">
        <w:rPr>
          <w:rFonts w:ascii="Arial" w:hAnsi="Arial"/>
          <w:sz w:val="22"/>
        </w:rPr>
        <w:t>8</w:t>
      </w:r>
      <w:r w:rsidR="00DF0088" w:rsidRPr="00AA267C">
        <w:rPr>
          <w:rFonts w:ascii="Arial" w:hAnsi="Arial"/>
          <w:sz w:val="22"/>
        </w:rPr>
        <w:t>/1</w:t>
      </w:r>
      <w:r w:rsidR="00AA267C" w:rsidRPr="00AA267C">
        <w:rPr>
          <w:rFonts w:ascii="Arial" w:hAnsi="Arial"/>
          <w:sz w:val="22"/>
        </w:rPr>
        <w:t>9</w:t>
      </w:r>
      <w:r w:rsidR="00DF0088" w:rsidRPr="00AA267C">
        <w:rPr>
          <w:rFonts w:ascii="Arial" w:hAnsi="Arial"/>
          <w:sz w:val="22"/>
        </w:rPr>
        <w:t xml:space="preserve"> and </w:t>
      </w:r>
      <w:r w:rsidRPr="00AA267C">
        <w:rPr>
          <w:rFonts w:ascii="Arial" w:hAnsi="Arial"/>
          <w:sz w:val="22"/>
        </w:rPr>
        <w:t xml:space="preserve">approve </w:t>
      </w:r>
      <w:r w:rsidR="00DF0088" w:rsidRPr="00AA267C">
        <w:rPr>
          <w:rFonts w:ascii="Arial" w:hAnsi="Arial"/>
          <w:sz w:val="22"/>
        </w:rPr>
        <w:t xml:space="preserve">the carry forward of </w:t>
      </w:r>
      <w:r w:rsidR="007A3A14" w:rsidRPr="00AA267C">
        <w:rPr>
          <w:rFonts w:ascii="Arial" w:hAnsi="Arial"/>
          <w:sz w:val="22"/>
        </w:rPr>
        <w:t>£0.4</w:t>
      </w:r>
      <w:r w:rsidR="00AA267C" w:rsidRPr="00AA267C">
        <w:rPr>
          <w:rFonts w:ascii="Arial" w:hAnsi="Arial"/>
          <w:sz w:val="22"/>
        </w:rPr>
        <w:t>86</w:t>
      </w:r>
      <w:r w:rsidR="007A3A14" w:rsidRPr="00AA267C">
        <w:rPr>
          <w:rFonts w:ascii="Arial" w:hAnsi="Arial"/>
          <w:sz w:val="22"/>
        </w:rPr>
        <w:t xml:space="preserve">m of </w:t>
      </w:r>
      <w:r w:rsidR="00DF0088" w:rsidRPr="00AA267C">
        <w:rPr>
          <w:rFonts w:ascii="Arial" w:hAnsi="Arial"/>
          <w:sz w:val="22"/>
        </w:rPr>
        <w:t>capital re-phasing into 2018/19 as outlined in this report;</w:t>
      </w:r>
    </w:p>
    <w:p w:rsidR="00DF0088" w:rsidRPr="00AA267C" w:rsidRDefault="00DF0088" w:rsidP="00D23B41">
      <w:pPr>
        <w:pStyle w:val="BodyText"/>
        <w:numPr>
          <w:ilvl w:val="0"/>
          <w:numId w:val="7"/>
        </w:numPr>
        <w:tabs>
          <w:tab w:val="num" w:pos="720"/>
        </w:tabs>
        <w:ind w:left="720"/>
        <w:rPr>
          <w:rFonts w:ascii="Arial" w:hAnsi="Arial"/>
          <w:sz w:val="22"/>
        </w:rPr>
      </w:pPr>
      <w:r w:rsidRPr="00AA267C">
        <w:rPr>
          <w:rFonts w:ascii="Arial" w:hAnsi="Arial"/>
          <w:sz w:val="22"/>
        </w:rPr>
        <w:t xml:space="preserve">Note the </w:t>
      </w:r>
      <w:r w:rsidR="00760EC8" w:rsidRPr="00AA267C">
        <w:rPr>
          <w:rFonts w:ascii="Arial" w:hAnsi="Arial"/>
          <w:sz w:val="22"/>
        </w:rPr>
        <w:t>end of year position on</w:t>
      </w:r>
      <w:r w:rsidRPr="00AA267C">
        <w:rPr>
          <w:rFonts w:ascii="Arial" w:hAnsi="Arial"/>
          <w:sz w:val="22"/>
        </w:rPr>
        <w:t xml:space="preserve"> reserves</w:t>
      </w:r>
      <w:r w:rsidR="007A3A14" w:rsidRPr="00AA267C">
        <w:rPr>
          <w:rFonts w:ascii="Arial" w:hAnsi="Arial"/>
          <w:sz w:val="22"/>
        </w:rPr>
        <w:t xml:space="preserve"> as a result of the out turn position </w:t>
      </w:r>
      <w:r w:rsidR="00760EC8" w:rsidRPr="00AA267C">
        <w:rPr>
          <w:rFonts w:ascii="Arial" w:hAnsi="Arial"/>
          <w:sz w:val="22"/>
        </w:rPr>
        <w:t xml:space="preserve">and note the </w:t>
      </w:r>
      <w:r w:rsidRPr="00AA267C">
        <w:rPr>
          <w:rFonts w:ascii="Arial" w:hAnsi="Arial"/>
          <w:sz w:val="22"/>
        </w:rPr>
        <w:t xml:space="preserve">contributions to and withdrawals from these reserves as detailed within this report. </w:t>
      </w:r>
    </w:p>
    <w:p w:rsidR="002F5C5E" w:rsidRDefault="002F5C5E" w:rsidP="002F5C5E">
      <w:pPr>
        <w:rPr>
          <w:sz w:val="16"/>
          <w:szCs w:val="16"/>
        </w:rPr>
      </w:pPr>
    </w:p>
    <w:p w:rsidR="00DF0088" w:rsidRPr="009C1143" w:rsidRDefault="00DF0088"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1830ED" w:rsidRPr="008C5420" w:rsidRDefault="001830ED" w:rsidP="001830ED">
      <w:pPr>
        <w:spacing w:after="120" w:line="480" w:lineRule="auto"/>
        <w:jc w:val="both"/>
        <w:rPr>
          <w:b/>
        </w:rPr>
      </w:pPr>
      <w:r w:rsidRPr="008C5420">
        <w:rPr>
          <w:b/>
        </w:rPr>
        <w:t xml:space="preserve">Revenue Service Budget </w:t>
      </w:r>
    </w:p>
    <w:p w:rsidR="008C5420" w:rsidRPr="00446F54" w:rsidRDefault="008C5420" w:rsidP="008C5420">
      <w:pPr>
        <w:ind w:left="720" w:hanging="720"/>
        <w:jc w:val="both"/>
        <w:rPr>
          <w:rFonts w:ascii="Sabon-Roman" w:hAnsi="Sabon-Roman" w:cs="Sabon-Roman"/>
        </w:rPr>
      </w:pPr>
      <w:r>
        <w:t>3.1</w:t>
      </w:r>
      <w:r>
        <w:tab/>
      </w:r>
      <w:r w:rsidR="00E7556E">
        <w:t xml:space="preserve">At quarter 3 </w:t>
      </w:r>
      <w:r w:rsidR="00446F54">
        <w:t xml:space="preserve">of </w:t>
      </w:r>
      <w:r w:rsidR="00E7556E">
        <w:t xml:space="preserve">2018/19, the </w:t>
      </w:r>
      <w:r w:rsidR="00446F54">
        <w:t xml:space="preserve">revenue </w:t>
      </w:r>
      <w:r w:rsidR="00E7556E">
        <w:t>budget was revised to reflect an anticipated underspend of £0.219m against the original budget approved in February 2018. This £0.219m was transferred to the Capital Reserve to support the funding of the Capital programme</w:t>
      </w:r>
      <w:r w:rsidR="00446F54">
        <w:t>.</w:t>
      </w:r>
      <w:r w:rsidR="00E7556E">
        <w:t xml:space="preserve"> </w:t>
      </w:r>
      <w:r w:rsidR="00E7556E" w:rsidRPr="00446F54">
        <w:lastRenderedPageBreak/>
        <w:t>T</w:t>
      </w:r>
      <w:r w:rsidR="00A334F2" w:rsidRPr="00446F54">
        <w:t>he council’s end of year accounts have been finalised and are showing a</w:t>
      </w:r>
      <w:r w:rsidR="00446F54" w:rsidRPr="00446F54">
        <w:t xml:space="preserve"> further net budget saving of </w:t>
      </w:r>
      <w:r w:rsidR="008C3B42" w:rsidRPr="00446F54">
        <w:t>£0.</w:t>
      </w:r>
      <w:r w:rsidR="000560BC" w:rsidRPr="00446F54">
        <w:t>09</w:t>
      </w:r>
      <w:r w:rsidR="00176FCA">
        <w:t>3</w:t>
      </w:r>
      <w:r w:rsidR="00446F54" w:rsidRPr="00446F54">
        <w:t>. Th</w:t>
      </w:r>
      <w:r w:rsidR="00A334F2" w:rsidRPr="00446F54">
        <w:t xml:space="preserve">e </w:t>
      </w:r>
      <w:r w:rsidR="008C3B42" w:rsidRPr="00446F54">
        <w:t>final outturn position means that no contribution from reserves is required and th</w:t>
      </w:r>
      <w:r w:rsidR="00446F54" w:rsidRPr="00446F54">
        <w:t xml:space="preserve">is </w:t>
      </w:r>
      <w:r w:rsidR="008C3B42" w:rsidRPr="00446F54">
        <w:t xml:space="preserve">surplus </w:t>
      </w:r>
      <w:r w:rsidR="00A334F2" w:rsidRPr="00446F54">
        <w:t>will be transferred to the council’s general reserve.</w:t>
      </w:r>
    </w:p>
    <w:p w:rsidR="008C5420" w:rsidRPr="006D6606" w:rsidRDefault="008C5420" w:rsidP="008C5420">
      <w:pPr>
        <w:jc w:val="both"/>
        <w:rPr>
          <w:color w:val="FF0000"/>
        </w:rPr>
      </w:pPr>
    </w:p>
    <w:p w:rsidR="008C5420" w:rsidRPr="005A3182" w:rsidRDefault="009C71B9" w:rsidP="007343E5">
      <w:pPr>
        <w:pStyle w:val="ListParagraph"/>
        <w:numPr>
          <w:ilvl w:val="1"/>
          <w:numId w:val="6"/>
        </w:numPr>
        <w:ind w:left="709" w:hanging="709"/>
        <w:jc w:val="both"/>
        <w:rPr>
          <w:rFonts w:cs="Arial"/>
        </w:rPr>
      </w:pPr>
      <w:r w:rsidRPr="00B82001">
        <w:rPr>
          <w:rFonts w:ascii="Arial" w:hAnsi="Arial" w:cs="Arial"/>
        </w:rPr>
        <w:t xml:space="preserve">The </w:t>
      </w:r>
      <w:r w:rsidR="00B82001" w:rsidRPr="00B82001">
        <w:rPr>
          <w:rFonts w:ascii="Arial" w:hAnsi="Arial" w:cs="Arial"/>
        </w:rPr>
        <w:t xml:space="preserve">outturn variations </w:t>
      </w:r>
      <w:r w:rsidRPr="00B82001">
        <w:rPr>
          <w:rFonts w:ascii="Arial" w:hAnsi="Arial" w:cs="Arial"/>
        </w:rPr>
        <w:t>a</w:t>
      </w:r>
      <w:r w:rsidR="00B82001" w:rsidRPr="00B82001">
        <w:rPr>
          <w:rFonts w:ascii="Arial" w:hAnsi="Arial" w:cs="Arial"/>
        </w:rPr>
        <w:t xml:space="preserve">re </w:t>
      </w:r>
      <w:r w:rsidRPr="00B82001">
        <w:rPr>
          <w:rFonts w:ascii="Arial" w:hAnsi="Arial" w:cs="Arial"/>
        </w:rPr>
        <w:t xml:space="preserve">set out in Table 1 and </w:t>
      </w:r>
      <w:r w:rsidR="00B82001" w:rsidRPr="00B82001">
        <w:rPr>
          <w:rFonts w:ascii="Arial" w:hAnsi="Arial" w:cs="Arial"/>
        </w:rPr>
        <w:t xml:space="preserve">these </w:t>
      </w:r>
      <w:r w:rsidRPr="00B82001">
        <w:rPr>
          <w:rFonts w:ascii="Arial" w:hAnsi="Arial" w:cs="Arial"/>
        </w:rPr>
        <w:t>include</w:t>
      </w:r>
      <w:r w:rsidR="005A3182">
        <w:rPr>
          <w:rFonts w:ascii="Arial" w:hAnsi="Arial" w:cs="Arial"/>
        </w:rPr>
        <w:t>:</w:t>
      </w:r>
      <w:r w:rsidRPr="00B82001">
        <w:rPr>
          <w:rFonts w:ascii="Arial" w:hAnsi="Arial" w:cs="Arial"/>
        </w:rPr>
        <w:t xml:space="preserve"> </w:t>
      </w:r>
      <w:r w:rsidRPr="005A3182">
        <w:rPr>
          <w:rFonts w:ascii="Arial" w:hAnsi="Arial" w:cs="Arial"/>
        </w:rPr>
        <w:t xml:space="preserve">a </w:t>
      </w:r>
      <w:r w:rsidR="005A3182" w:rsidRPr="005A3182">
        <w:rPr>
          <w:rFonts w:ascii="Arial" w:hAnsi="Arial" w:cs="Arial"/>
        </w:rPr>
        <w:t>reduction in net service expenditure of</w:t>
      </w:r>
      <w:r w:rsidRPr="005A3182">
        <w:rPr>
          <w:rFonts w:ascii="Arial" w:hAnsi="Arial" w:cs="Arial"/>
        </w:rPr>
        <w:t xml:space="preserve"> £0.</w:t>
      </w:r>
      <w:r w:rsidR="000D4924" w:rsidRPr="005A3182">
        <w:rPr>
          <w:rFonts w:ascii="Arial" w:hAnsi="Arial" w:cs="Arial"/>
        </w:rPr>
        <w:t>09</w:t>
      </w:r>
      <w:r w:rsidR="005A3182" w:rsidRPr="005A3182">
        <w:rPr>
          <w:rFonts w:ascii="Arial" w:hAnsi="Arial" w:cs="Arial"/>
        </w:rPr>
        <w:t>8</w:t>
      </w:r>
      <w:r w:rsidRPr="005A3182">
        <w:rPr>
          <w:rFonts w:ascii="Arial" w:hAnsi="Arial" w:cs="Arial"/>
        </w:rPr>
        <w:t xml:space="preserve">m, an increase in </w:t>
      </w:r>
      <w:r w:rsidR="005A3182" w:rsidRPr="005A3182">
        <w:rPr>
          <w:rFonts w:ascii="Arial" w:hAnsi="Arial" w:cs="Arial"/>
        </w:rPr>
        <w:t xml:space="preserve">net interest earned of </w:t>
      </w:r>
      <w:r w:rsidRPr="005A3182">
        <w:rPr>
          <w:rFonts w:ascii="Arial" w:hAnsi="Arial" w:cs="Arial"/>
        </w:rPr>
        <w:t>£0.</w:t>
      </w:r>
      <w:r w:rsidR="005A3182" w:rsidRPr="005A3182">
        <w:rPr>
          <w:rFonts w:ascii="Arial" w:hAnsi="Arial" w:cs="Arial"/>
        </w:rPr>
        <w:t>075</w:t>
      </w:r>
      <w:r w:rsidRPr="005A3182">
        <w:rPr>
          <w:rFonts w:ascii="Arial" w:hAnsi="Arial" w:cs="Arial"/>
        </w:rPr>
        <w:t xml:space="preserve">m, </w:t>
      </w:r>
      <w:r w:rsidR="005A3182" w:rsidRPr="005A3182">
        <w:rPr>
          <w:rFonts w:ascii="Arial" w:hAnsi="Arial" w:cs="Arial"/>
        </w:rPr>
        <w:t>additional funding of £0.006m</w:t>
      </w:r>
      <w:r w:rsidR="005A3182">
        <w:rPr>
          <w:rFonts w:ascii="Arial" w:hAnsi="Arial" w:cs="Arial"/>
        </w:rPr>
        <w:t xml:space="preserve">, reduction in capital financing and pensions costs £0.011m; offset by </w:t>
      </w:r>
      <w:r w:rsidRPr="005A3182">
        <w:rPr>
          <w:rFonts w:ascii="Arial" w:hAnsi="Arial" w:cs="Arial"/>
        </w:rPr>
        <w:t>a</w:t>
      </w:r>
      <w:r w:rsidR="00602CF8">
        <w:rPr>
          <w:rFonts w:ascii="Arial" w:hAnsi="Arial" w:cs="Arial"/>
        </w:rPr>
        <w:t xml:space="preserve"> reduction in </w:t>
      </w:r>
      <w:r w:rsidRPr="005A3182">
        <w:rPr>
          <w:rFonts w:ascii="Arial" w:hAnsi="Arial" w:cs="Arial"/>
        </w:rPr>
        <w:t xml:space="preserve"> </w:t>
      </w:r>
      <w:r w:rsidR="005A3182">
        <w:rPr>
          <w:rFonts w:ascii="Arial" w:hAnsi="Arial" w:cs="Arial"/>
        </w:rPr>
        <w:t xml:space="preserve">contributions </w:t>
      </w:r>
      <w:r w:rsidR="00602CF8">
        <w:rPr>
          <w:rFonts w:ascii="Arial" w:hAnsi="Arial" w:cs="Arial"/>
        </w:rPr>
        <w:t>from earmarked r</w:t>
      </w:r>
      <w:r w:rsidR="005A3182" w:rsidRPr="005A3182">
        <w:rPr>
          <w:rFonts w:ascii="Arial" w:hAnsi="Arial" w:cs="Arial"/>
        </w:rPr>
        <w:t>eserves of £0.097m</w:t>
      </w:r>
      <w:r w:rsidRPr="005A3182">
        <w:rPr>
          <w:rFonts w:ascii="Arial" w:hAnsi="Arial" w:cs="Arial"/>
        </w:rPr>
        <w:t xml:space="preserve">. </w:t>
      </w:r>
    </w:p>
    <w:p w:rsidR="00551A34" w:rsidRPr="006D6606" w:rsidRDefault="00551A34" w:rsidP="00551A34">
      <w:pPr>
        <w:jc w:val="both"/>
        <w:rPr>
          <w:rFonts w:cs="Arial"/>
          <w:color w:val="FF0000"/>
        </w:rPr>
      </w:pPr>
    </w:p>
    <w:p w:rsidR="008C5420" w:rsidRPr="00B82001" w:rsidRDefault="00760EC8" w:rsidP="00521C9E">
      <w:pPr>
        <w:pStyle w:val="ListParagraph"/>
        <w:numPr>
          <w:ilvl w:val="1"/>
          <w:numId w:val="6"/>
        </w:numPr>
        <w:ind w:hanging="720"/>
        <w:jc w:val="both"/>
        <w:rPr>
          <w:rFonts w:ascii="Arial" w:hAnsi="Arial" w:cs="Arial"/>
        </w:rPr>
      </w:pPr>
      <w:r w:rsidRPr="00B82001">
        <w:rPr>
          <w:rFonts w:ascii="Arial" w:hAnsi="Arial" w:cs="Arial"/>
        </w:rPr>
        <w:t>It</w:t>
      </w:r>
      <w:r w:rsidR="008C5420" w:rsidRPr="00B82001">
        <w:rPr>
          <w:rFonts w:ascii="Arial" w:hAnsi="Arial" w:cs="Arial"/>
        </w:rPr>
        <w:t xml:space="preserve"> is important to note that the 201</w:t>
      </w:r>
      <w:r w:rsidR="00B82001" w:rsidRPr="00B82001">
        <w:rPr>
          <w:rFonts w:ascii="Arial" w:hAnsi="Arial" w:cs="Arial"/>
        </w:rPr>
        <w:t>8</w:t>
      </w:r>
      <w:r w:rsidR="008C5420" w:rsidRPr="00B82001">
        <w:rPr>
          <w:rFonts w:ascii="Arial" w:hAnsi="Arial" w:cs="Arial"/>
        </w:rPr>
        <w:t>/1</w:t>
      </w:r>
      <w:r w:rsidR="00B82001" w:rsidRPr="00B82001">
        <w:rPr>
          <w:rFonts w:ascii="Arial" w:hAnsi="Arial" w:cs="Arial"/>
        </w:rPr>
        <w:t>9</w:t>
      </w:r>
      <w:r w:rsidR="008C5420" w:rsidRPr="00B82001">
        <w:rPr>
          <w:rFonts w:ascii="Arial" w:hAnsi="Arial" w:cs="Arial"/>
        </w:rPr>
        <w:t xml:space="preserve"> </w:t>
      </w:r>
      <w:r w:rsidR="001830ED" w:rsidRPr="00B82001">
        <w:rPr>
          <w:rFonts w:ascii="Arial" w:hAnsi="Arial" w:cs="Arial"/>
        </w:rPr>
        <w:t xml:space="preserve">revenue </w:t>
      </w:r>
      <w:r w:rsidR="008C5420" w:rsidRPr="00B82001">
        <w:rPr>
          <w:rFonts w:ascii="Arial" w:hAnsi="Arial" w:cs="Arial"/>
        </w:rPr>
        <w:t xml:space="preserve">budget out-turn position is </w:t>
      </w:r>
      <w:r w:rsidR="00F500D9" w:rsidRPr="00B82001">
        <w:rPr>
          <w:rFonts w:ascii="Arial" w:hAnsi="Arial" w:cs="Arial"/>
        </w:rPr>
        <w:t xml:space="preserve">partly </w:t>
      </w:r>
      <w:r w:rsidR="008C5420" w:rsidRPr="00B82001">
        <w:rPr>
          <w:rFonts w:ascii="Arial" w:hAnsi="Arial" w:cs="Arial"/>
        </w:rPr>
        <w:t xml:space="preserve">impacted upon by one-off occurrences.  Their temporary nature should </w:t>
      </w:r>
      <w:r w:rsidR="00687CFC" w:rsidRPr="00B82001">
        <w:rPr>
          <w:rFonts w:ascii="Arial" w:hAnsi="Arial" w:cs="Arial"/>
        </w:rPr>
        <w:t xml:space="preserve">and will </w:t>
      </w:r>
      <w:r w:rsidR="008C5420" w:rsidRPr="00B82001">
        <w:rPr>
          <w:rFonts w:ascii="Arial" w:hAnsi="Arial" w:cs="Arial"/>
        </w:rPr>
        <w:t>be considered in context when assessing the</w:t>
      </w:r>
      <w:r w:rsidR="00687CFC" w:rsidRPr="00B82001">
        <w:rPr>
          <w:rFonts w:ascii="Arial" w:hAnsi="Arial" w:cs="Arial"/>
        </w:rPr>
        <w:t>ir</w:t>
      </w:r>
      <w:r w:rsidR="008C5420" w:rsidRPr="00B82001">
        <w:rPr>
          <w:rFonts w:ascii="Arial" w:hAnsi="Arial" w:cs="Arial"/>
        </w:rPr>
        <w:t xml:space="preserve"> impact on the Council’s Medium Term Financial Strategy (MTFS) </w:t>
      </w:r>
      <w:r w:rsidRPr="00B82001">
        <w:rPr>
          <w:rFonts w:ascii="Arial" w:hAnsi="Arial" w:cs="Arial"/>
        </w:rPr>
        <w:t xml:space="preserve">to ensure that the budget is sustainable in future years.  </w:t>
      </w:r>
    </w:p>
    <w:p w:rsidR="009C71B9" w:rsidRPr="006D6606" w:rsidRDefault="009C71B9" w:rsidP="009C71B9">
      <w:pPr>
        <w:pStyle w:val="ListParagraph"/>
        <w:rPr>
          <w:rFonts w:ascii="Arial" w:hAnsi="Arial" w:cs="Arial"/>
          <w:color w:val="FF0000"/>
        </w:rPr>
      </w:pPr>
    </w:p>
    <w:p w:rsidR="008C5420" w:rsidRPr="00B82001" w:rsidRDefault="00A228A7" w:rsidP="007A3A14">
      <w:pPr>
        <w:pStyle w:val="ListParagraph"/>
        <w:numPr>
          <w:ilvl w:val="1"/>
          <w:numId w:val="6"/>
        </w:numPr>
        <w:ind w:hanging="720"/>
        <w:jc w:val="both"/>
        <w:rPr>
          <w:rFonts w:ascii="Arial" w:hAnsi="Arial" w:cs="Arial"/>
        </w:rPr>
      </w:pPr>
      <w:r w:rsidRPr="00B82001">
        <w:rPr>
          <w:rFonts w:ascii="Arial" w:hAnsi="Arial" w:cs="Arial"/>
        </w:rPr>
        <w:t>The original budget for 201</w:t>
      </w:r>
      <w:r w:rsidR="00B82001" w:rsidRPr="00B82001">
        <w:rPr>
          <w:rFonts w:ascii="Arial" w:hAnsi="Arial" w:cs="Arial"/>
        </w:rPr>
        <w:t>8</w:t>
      </w:r>
      <w:r w:rsidRPr="00B82001">
        <w:rPr>
          <w:rFonts w:ascii="Arial" w:hAnsi="Arial" w:cs="Arial"/>
        </w:rPr>
        <w:t>/1</w:t>
      </w:r>
      <w:r w:rsidR="00B82001" w:rsidRPr="00B82001">
        <w:rPr>
          <w:rFonts w:ascii="Arial" w:hAnsi="Arial" w:cs="Arial"/>
        </w:rPr>
        <w:t>9</w:t>
      </w:r>
      <w:r w:rsidRPr="00B82001">
        <w:rPr>
          <w:rFonts w:ascii="Arial" w:hAnsi="Arial" w:cs="Arial"/>
        </w:rPr>
        <w:t xml:space="preserve"> included </w:t>
      </w:r>
      <w:r w:rsidR="00B82001" w:rsidRPr="00B82001">
        <w:rPr>
          <w:rFonts w:ascii="Arial" w:hAnsi="Arial" w:cs="Arial"/>
        </w:rPr>
        <w:t xml:space="preserve">budget savings and additional income </w:t>
      </w:r>
      <w:r w:rsidRPr="00B82001">
        <w:rPr>
          <w:rFonts w:ascii="Arial" w:hAnsi="Arial" w:cs="Arial"/>
        </w:rPr>
        <w:t>target</w:t>
      </w:r>
      <w:r w:rsidR="00A45392" w:rsidRPr="00B82001">
        <w:rPr>
          <w:rFonts w:ascii="Arial" w:hAnsi="Arial" w:cs="Arial"/>
        </w:rPr>
        <w:t>s of £</w:t>
      </w:r>
      <w:r w:rsidR="001C42B7" w:rsidRPr="00B82001">
        <w:rPr>
          <w:rFonts w:ascii="Arial" w:hAnsi="Arial" w:cs="Arial"/>
        </w:rPr>
        <w:t>0.</w:t>
      </w:r>
      <w:r w:rsidR="00B82001" w:rsidRPr="00B82001">
        <w:rPr>
          <w:rFonts w:ascii="Arial" w:hAnsi="Arial" w:cs="Arial"/>
        </w:rPr>
        <w:t>628</w:t>
      </w:r>
      <w:r w:rsidR="001C42B7" w:rsidRPr="00B82001">
        <w:rPr>
          <w:rFonts w:ascii="Arial" w:hAnsi="Arial" w:cs="Arial"/>
        </w:rPr>
        <w:t>m</w:t>
      </w:r>
      <w:r w:rsidR="00B82001">
        <w:rPr>
          <w:rFonts w:ascii="Arial" w:hAnsi="Arial" w:cs="Arial"/>
        </w:rPr>
        <w:t xml:space="preserve">; </w:t>
      </w:r>
      <w:r w:rsidR="00B82001" w:rsidRPr="00B82001">
        <w:rPr>
          <w:rFonts w:ascii="Arial" w:hAnsi="Arial" w:cs="Arial"/>
        </w:rPr>
        <w:t xml:space="preserve">this </w:t>
      </w:r>
      <w:r w:rsidR="00B82001">
        <w:rPr>
          <w:rFonts w:ascii="Arial" w:hAnsi="Arial" w:cs="Arial"/>
        </w:rPr>
        <w:t xml:space="preserve">target </w:t>
      </w:r>
      <w:r w:rsidR="00B82001" w:rsidRPr="00B82001">
        <w:rPr>
          <w:rFonts w:ascii="Arial" w:hAnsi="Arial" w:cs="Arial"/>
        </w:rPr>
        <w:t xml:space="preserve">was </w:t>
      </w:r>
      <w:r w:rsidR="00760EC8" w:rsidRPr="00B82001">
        <w:rPr>
          <w:rFonts w:ascii="Arial" w:hAnsi="Arial" w:cs="Arial"/>
        </w:rPr>
        <w:t>achieved during the year.</w:t>
      </w:r>
    </w:p>
    <w:p w:rsidR="00A228A7" w:rsidRPr="00A228A7" w:rsidRDefault="00A228A7" w:rsidP="00A228A7">
      <w:pPr>
        <w:pStyle w:val="ListParagraph"/>
        <w:rPr>
          <w:rFonts w:ascii="Arial" w:hAnsi="Arial" w:cs="Arial"/>
          <w:color w:val="FF0000"/>
        </w:rPr>
      </w:pPr>
    </w:p>
    <w:p w:rsidR="002F5C5E" w:rsidRDefault="002F5C5E" w:rsidP="00D23B41">
      <w:pPr>
        <w:keepNext/>
        <w:numPr>
          <w:ilvl w:val="0"/>
          <w:numId w:val="1"/>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6A5FBD">
        <w:tc>
          <w:tcPr>
            <w:tcW w:w="4423" w:type="dxa"/>
            <w:shd w:val="clear" w:color="auto" w:fill="auto"/>
          </w:tcPr>
          <w:p w:rsidR="00772B9C" w:rsidRPr="000828CC" w:rsidRDefault="00772B9C" w:rsidP="006A5FBD">
            <w:pPr>
              <w:rPr>
                <w:szCs w:val="22"/>
              </w:rPr>
            </w:pPr>
            <w:r w:rsidRPr="000828CC">
              <w:rPr>
                <w:szCs w:val="22"/>
              </w:rPr>
              <w:t>Excellence and Financial Sustainability</w:t>
            </w:r>
          </w:p>
          <w:p w:rsidR="00772B9C" w:rsidRPr="000828CC" w:rsidRDefault="00772B9C" w:rsidP="006A5FBD">
            <w:pPr>
              <w:rPr>
                <w:szCs w:val="22"/>
              </w:rPr>
            </w:pPr>
          </w:p>
        </w:tc>
        <w:tc>
          <w:tcPr>
            <w:tcW w:w="850" w:type="dxa"/>
            <w:shd w:val="clear" w:color="auto" w:fill="auto"/>
          </w:tcPr>
          <w:p w:rsidR="00772B9C" w:rsidRPr="008770BE" w:rsidRDefault="00DF0088" w:rsidP="006A5FBD">
            <w:pPr>
              <w:rPr>
                <w:szCs w:val="22"/>
                <w:highlight w:val="yellow"/>
              </w:rPr>
            </w:pPr>
            <w:r w:rsidRPr="00DF0088">
              <w:rPr>
                <w:szCs w:val="22"/>
              </w:rPr>
              <w:t>x</w:t>
            </w:r>
          </w:p>
        </w:tc>
      </w:tr>
      <w:tr w:rsidR="00772B9C" w:rsidRPr="008770BE" w:rsidTr="006A5FBD">
        <w:tc>
          <w:tcPr>
            <w:tcW w:w="4423" w:type="dxa"/>
            <w:shd w:val="clear" w:color="auto" w:fill="auto"/>
          </w:tcPr>
          <w:p w:rsidR="00772B9C" w:rsidRPr="000828CC" w:rsidRDefault="00772B9C" w:rsidP="006A5FBD">
            <w:pPr>
              <w:rPr>
                <w:szCs w:val="22"/>
              </w:rPr>
            </w:pPr>
            <w:r w:rsidRPr="000828CC">
              <w:rPr>
                <w:szCs w:val="22"/>
              </w:rPr>
              <w:t>Health and Wellbeing</w:t>
            </w:r>
          </w:p>
          <w:p w:rsidR="00772B9C" w:rsidRPr="000828CC" w:rsidRDefault="00772B9C" w:rsidP="006A5FBD">
            <w:pPr>
              <w:rPr>
                <w:szCs w:val="22"/>
              </w:rPr>
            </w:pPr>
          </w:p>
        </w:tc>
        <w:tc>
          <w:tcPr>
            <w:tcW w:w="850" w:type="dxa"/>
            <w:shd w:val="clear" w:color="auto" w:fill="auto"/>
          </w:tcPr>
          <w:p w:rsidR="00772B9C" w:rsidRPr="008770BE" w:rsidRDefault="00772B9C" w:rsidP="006A5FBD">
            <w:pPr>
              <w:rPr>
                <w:szCs w:val="22"/>
                <w:highlight w:val="yellow"/>
              </w:rPr>
            </w:pPr>
          </w:p>
        </w:tc>
      </w:tr>
      <w:tr w:rsidR="00772B9C" w:rsidRPr="009C1143" w:rsidTr="006A5FBD">
        <w:tc>
          <w:tcPr>
            <w:tcW w:w="4423" w:type="dxa"/>
            <w:shd w:val="clear" w:color="auto" w:fill="auto"/>
          </w:tcPr>
          <w:p w:rsidR="00772B9C" w:rsidRPr="000828CC" w:rsidRDefault="00772B9C" w:rsidP="006A5FBD">
            <w:pPr>
              <w:rPr>
                <w:szCs w:val="22"/>
              </w:rPr>
            </w:pPr>
            <w:r w:rsidRPr="000828CC">
              <w:rPr>
                <w:szCs w:val="22"/>
              </w:rPr>
              <w:t>Place</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6A5FBD">
        <w:tc>
          <w:tcPr>
            <w:tcW w:w="4423" w:type="dxa"/>
            <w:shd w:val="clear" w:color="auto" w:fill="auto"/>
          </w:tcPr>
          <w:p w:rsidR="00772B9C" w:rsidRDefault="00772B9C" w:rsidP="006A5FBD">
            <w:pPr>
              <w:rPr>
                <w:szCs w:val="22"/>
              </w:rPr>
            </w:pPr>
            <w:r>
              <w:rPr>
                <w:szCs w:val="22"/>
              </w:rPr>
              <w:t xml:space="preserve">People </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Pr="009C1143" w:rsidRDefault="00772B9C" w:rsidP="002F5C5E">
      <w:pPr>
        <w:rPr>
          <w:szCs w:val="22"/>
        </w:rPr>
      </w:pPr>
    </w:p>
    <w:p w:rsidR="002F5C5E" w:rsidRPr="001830ED" w:rsidRDefault="002F5C5E" w:rsidP="001830ED">
      <w:pPr>
        <w:pStyle w:val="ListParagraph"/>
        <w:numPr>
          <w:ilvl w:val="0"/>
          <w:numId w:val="1"/>
        </w:numPr>
        <w:rPr>
          <w:rFonts w:ascii="Arial" w:hAnsi="Arial" w:cs="Arial"/>
          <w:b/>
        </w:rPr>
      </w:pPr>
      <w:r w:rsidRPr="001830ED">
        <w:rPr>
          <w:rFonts w:ascii="Arial" w:hAnsi="Arial" w:cs="Arial"/>
          <w:b/>
        </w:rPr>
        <w:t>BACKGROUND TO THE REPORT</w:t>
      </w:r>
    </w:p>
    <w:p w:rsidR="001830ED" w:rsidRPr="001830ED" w:rsidRDefault="001830ED" w:rsidP="001830ED">
      <w:pPr>
        <w:rPr>
          <w:b/>
        </w:rPr>
      </w:pPr>
    </w:p>
    <w:p w:rsidR="00D23B41" w:rsidRPr="000560BC" w:rsidRDefault="00A45392" w:rsidP="00AC5A6B">
      <w:pPr>
        <w:pStyle w:val="ListParagraph"/>
        <w:numPr>
          <w:ilvl w:val="1"/>
          <w:numId w:val="1"/>
        </w:numPr>
        <w:ind w:hanging="720"/>
        <w:jc w:val="both"/>
        <w:rPr>
          <w:b/>
        </w:rPr>
      </w:pPr>
      <w:r w:rsidRPr="000560BC">
        <w:rPr>
          <w:rFonts w:ascii="Arial" w:hAnsi="Arial" w:cs="Arial"/>
        </w:rPr>
        <w:t>This monitoring report sets out the final position for the council in relation to its 201</w:t>
      </w:r>
      <w:r w:rsidR="000560BC" w:rsidRPr="000560BC">
        <w:rPr>
          <w:rFonts w:ascii="Arial" w:hAnsi="Arial" w:cs="Arial"/>
        </w:rPr>
        <w:t>8</w:t>
      </w:r>
      <w:r w:rsidRPr="000560BC">
        <w:rPr>
          <w:rFonts w:ascii="Arial" w:hAnsi="Arial" w:cs="Arial"/>
        </w:rPr>
        <w:t>/1</w:t>
      </w:r>
      <w:r w:rsidR="000560BC" w:rsidRPr="000560BC">
        <w:rPr>
          <w:rFonts w:ascii="Arial" w:hAnsi="Arial" w:cs="Arial"/>
        </w:rPr>
        <w:t>9</w:t>
      </w:r>
      <w:r w:rsidRPr="000560BC">
        <w:rPr>
          <w:rFonts w:ascii="Arial" w:hAnsi="Arial" w:cs="Arial"/>
        </w:rPr>
        <w:t xml:space="preserve"> revenue and capital budget.  </w:t>
      </w:r>
    </w:p>
    <w:p w:rsidR="000560BC" w:rsidRPr="000560BC" w:rsidRDefault="000560BC" w:rsidP="000560BC">
      <w:pPr>
        <w:jc w:val="both"/>
        <w:rPr>
          <w:b/>
        </w:rPr>
      </w:pPr>
    </w:p>
    <w:p w:rsidR="00D23B41" w:rsidRPr="00D23B41" w:rsidRDefault="00D23B41" w:rsidP="00D23B41">
      <w:pPr>
        <w:keepNext/>
        <w:jc w:val="both"/>
        <w:outlineLvl w:val="0"/>
        <w:rPr>
          <w:rFonts w:ascii="Calibri" w:hAnsi="Calibri"/>
          <w:b/>
          <w:lang w:val="x-none" w:eastAsia="x-none"/>
        </w:rPr>
      </w:pPr>
      <w:r>
        <w:rPr>
          <w:rFonts w:cs="Arial"/>
          <w:b/>
        </w:rPr>
        <w:lastRenderedPageBreak/>
        <w:t xml:space="preserve">6. </w:t>
      </w:r>
      <w:r w:rsidR="00C970E4">
        <w:rPr>
          <w:rFonts w:cs="Arial"/>
          <w:b/>
        </w:rPr>
        <w:t xml:space="preserve">    </w:t>
      </w:r>
      <w:r w:rsidR="008A4F66">
        <w:rPr>
          <w:rFonts w:cs="Arial"/>
          <w:b/>
        </w:rPr>
        <w:t>DETAIL</w:t>
      </w:r>
    </w:p>
    <w:p w:rsidR="00D23B41" w:rsidRPr="00D23B41" w:rsidRDefault="00D23B41" w:rsidP="00D23B41">
      <w:pPr>
        <w:keepNext/>
        <w:jc w:val="both"/>
        <w:outlineLvl w:val="0"/>
        <w:rPr>
          <w:b/>
          <w:lang w:val="x-none" w:eastAsia="x-none"/>
        </w:rPr>
      </w:pPr>
    </w:p>
    <w:p w:rsidR="00D23B41" w:rsidRPr="00D23B41" w:rsidRDefault="00D23B41" w:rsidP="00AA0B01">
      <w:pPr>
        <w:keepNext/>
        <w:outlineLvl w:val="0"/>
        <w:rPr>
          <w:b/>
          <w:lang w:val="x-none" w:eastAsia="x-none"/>
        </w:rPr>
      </w:pPr>
      <w:r>
        <w:rPr>
          <w:b/>
          <w:szCs w:val="22"/>
        </w:rPr>
        <w:t xml:space="preserve"> </w:t>
      </w:r>
      <w:r w:rsidRPr="00D23B41">
        <w:rPr>
          <w:b/>
          <w:lang w:val="x-none" w:eastAsia="x-none"/>
        </w:rPr>
        <w:t>REVENUE NET EXPENDITURE</w:t>
      </w:r>
    </w:p>
    <w:p w:rsidR="000560BC" w:rsidRDefault="000560BC" w:rsidP="000560BC">
      <w:pPr>
        <w:pStyle w:val="Default"/>
        <w:rPr>
          <w:color w:val="auto"/>
          <w:sz w:val="22"/>
          <w:szCs w:val="22"/>
        </w:rPr>
      </w:pPr>
    </w:p>
    <w:p w:rsidR="001E4D5C" w:rsidRPr="006D6606" w:rsidRDefault="000560BC" w:rsidP="000560BC">
      <w:pPr>
        <w:ind w:left="720" w:hanging="720"/>
        <w:rPr>
          <w:rFonts w:cs="Arial"/>
          <w:color w:val="FF0000"/>
        </w:rPr>
      </w:pPr>
      <w:r>
        <w:rPr>
          <w:rFonts w:cs="Arial"/>
        </w:rPr>
        <w:t>6.1</w:t>
      </w:r>
      <w:r>
        <w:rPr>
          <w:rFonts w:cs="Arial"/>
        </w:rPr>
        <w:tab/>
      </w:r>
      <w:r>
        <w:rPr>
          <w:szCs w:val="22"/>
        </w:rPr>
        <w:t xml:space="preserve">In 2018/19, the council set a balanced annual budget of £14.128m which included efficiency savings of £0.628m and no budgeted contributions to or from general reserves. The revised budget for 2018/19 forecast a net surplus of £0.219m to be transferred to the capital reserve to support the 4 year Capital Strategy and Programme. At the end of the year, the council had underspent by a </w:t>
      </w:r>
      <w:r w:rsidRPr="000560BC">
        <w:rPr>
          <w:szCs w:val="22"/>
        </w:rPr>
        <w:t>further £0.093m and</w:t>
      </w:r>
      <w:r>
        <w:rPr>
          <w:szCs w:val="22"/>
        </w:rPr>
        <w:t xml:space="preserve"> this small surplus has been added to general reserves. </w:t>
      </w:r>
      <w:r w:rsidR="00A45392" w:rsidRPr="006D6606">
        <w:rPr>
          <w:rFonts w:cs="Arial"/>
          <w:color w:val="FF0000"/>
        </w:rPr>
        <w:t xml:space="preserve"> </w:t>
      </w:r>
    </w:p>
    <w:p w:rsidR="00D53BB6" w:rsidRPr="006D6606" w:rsidRDefault="00D53BB6" w:rsidP="00D53BB6">
      <w:pPr>
        <w:jc w:val="both"/>
        <w:rPr>
          <w:rFonts w:cs="Arial"/>
          <w:color w:val="FF0000"/>
          <w:szCs w:val="22"/>
        </w:rPr>
      </w:pPr>
    </w:p>
    <w:p w:rsidR="000560BC" w:rsidRDefault="007A3A14" w:rsidP="000560BC">
      <w:pPr>
        <w:pStyle w:val="Default"/>
        <w:ind w:left="709" w:hanging="709"/>
        <w:rPr>
          <w:color w:val="auto"/>
          <w:sz w:val="22"/>
          <w:szCs w:val="22"/>
        </w:rPr>
      </w:pPr>
      <w:r w:rsidRPr="000560BC">
        <w:rPr>
          <w:color w:val="auto"/>
        </w:rPr>
        <w:t>6.2</w:t>
      </w:r>
      <w:r w:rsidRPr="006D6606">
        <w:rPr>
          <w:color w:val="FF0000"/>
        </w:rPr>
        <w:tab/>
      </w:r>
      <w:r w:rsidR="000560BC" w:rsidRPr="000560BC">
        <w:rPr>
          <w:color w:val="auto"/>
        </w:rPr>
        <w:t>I</w:t>
      </w:r>
      <w:r w:rsidR="000560BC" w:rsidRPr="000560BC">
        <w:rPr>
          <w:color w:val="auto"/>
          <w:sz w:val="22"/>
          <w:szCs w:val="22"/>
        </w:rPr>
        <w:t xml:space="preserve">n achieving </w:t>
      </w:r>
      <w:r w:rsidR="000560BC">
        <w:rPr>
          <w:color w:val="auto"/>
          <w:sz w:val="22"/>
          <w:szCs w:val="22"/>
        </w:rPr>
        <w:t>this position, the council had delivered on the implementation of the restructuring of its senior management structure, and generated additional fees and charges income through the introduction of new charges, such as Garden Waste and Pre-Planning Fees, and a review of existing fees and charges. The implementation of Garden Waste charges from April 2018 generated £0.789m in 2018/19. This made a significant contribution to the mitigation of the budget shortfall which resulted from the removal of waste cost-share income from Lancashire County Council of £0.909m from 2018/19 onwards.</w:t>
      </w:r>
    </w:p>
    <w:p w:rsidR="007E74C4" w:rsidRDefault="007E74C4" w:rsidP="002E1752">
      <w:pPr>
        <w:ind w:left="720" w:hanging="720"/>
        <w:rPr>
          <w:rFonts w:cs="Arial"/>
        </w:rPr>
      </w:pPr>
    </w:p>
    <w:p w:rsidR="000560BC" w:rsidRDefault="007A3A14" w:rsidP="002E1752">
      <w:pPr>
        <w:ind w:left="720" w:hanging="720"/>
        <w:rPr>
          <w:szCs w:val="22"/>
        </w:rPr>
      </w:pPr>
      <w:r>
        <w:rPr>
          <w:rFonts w:cs="Arial"/>
        </w:rPr>
        <w:t>6.3</w:t>
      </w:r>
      <w:r>
        <w:rPr>
          <w:rFonts w:cs="Arial"/>
        </w:rPr>
        <w:tab/>
      </w:r>
      <w:r w:rsidR="000560BC">
        <w:rPr>
          <w:szCs w:val="22"/>
        </w:rPr>
        <w:t>The outturn position will be considered as part of the update of the Council’s Medium Term Financial Strategy (MTFS) to ensure that ongoing additional income or reduced expenditure is fully reflected in the strategy.</w:t>
      </w:r>
    </w:p>
    <w:p w:rsidR="000560BC" w:rsidRDefault="000560BC" w:rsidP="002E1752">
      <w:pPr>
        <w:ind w:left="720" w:hanging="720"/>
        <w:rPr>
          <w:szCs w:val="22"/>
        </w:rPr>
      </w:pPr>
    </w:p>
    <w:p w:rsidR="00AA0B01" w:rsidRDefault="000560BC" w:rsidP="00AA0B01">
      <w:pPr>
        <w:pStyle w:val="Default"/>
        <w:ind w:left="720" w:hanging="720"/>
        <w:rPr>
          <w:color w:val="auto"/>
          <w:sz w:val="22"/>
          <w:szCs w:val="22"/>
        </w:rPr>
      </w:pPr>
      <w:r>
        <w:rPr>
          <w:szCs w:val="22"/>
        </w:rPr>
        <w:t>6.4</w:t>
      </w:r>
      <w:r>
        <w:rPr>
          <w:szCs w:val="22"/>
        </w:rPr>
        <w:tab/>
      </w:r>
      <w:r w:rsidR="00AA0B01">
        <w:rPr>
          <w:color w:val="auto"/>
          <w:sz w:val="22"/>
          <w:szCs w:val="22"/>
        </w:rPr>
        <w:t xml:space="preserve">In recent years austerity measures have been implemented by Central Government to reduce overall public sector spending. This has resulted in changes in the way the council is funded and has seen the withdrawal of central government grant (revenue support grant) and the introduction of business rates locally. The council is part of the Lancashire Business Rate Pooling arrangement which allows increases in business rates to be retained locally but transfers the financial risk of maintaining and growing the tax base to local councils. These arrangements benefit South Ribble and therefore contribute positively to the Council’s overall financial position. In September 2018 South Ribble participated in the Lancashire application for the Business Rates 75% pilot scheme. The Lancashire bid was successful and therefore, for 2019/20 only, South Ribble will benefit from retaining a higher proportion of any growth in business rates income. This increase in funding has been included in the 2019/20 budget forecast. </w:t>
      </w:r>
    </w:p>
    <w:p w:rsidR="00AA0B01" w:rsidRDefault="00AA0B01" w:rsidP="00AA0B01">
      <w:pPr>
        <w:pStyle w:val="Default"/>
        <w:ind w:left="720" w:hanging="720"/>
        <w:rPr>
          <w:color w:val="auto"/>
          <w:sz w:val="22"/>
          <w:szCs w:val="22"/>
        </w:rPr>
      </w:pPr>
    </w:p>
    <w:p w:rsidR="00AA0B01" w:rsidRDefault="00AA0B01" w:rsidP="00AA0B01">
      <w:pPr>
        <w:pStyle w:val="Default"/>
        <w:ind w:left="720" w:hanging="720"/>
        <w:rPr>
          <w:color w:val="auto"/>
          <w:sz w:val="22"/>
          <w:szCs w:val="22"/>
        </w:rPr>
      </w:pPr>
      <w:r>
        <w:rPr>
          <w:color w:val="auto"/>
          <w:sz w:val="22"/>
          <w:szCs w:val="22"/>
        </w:rPr>
        <w:t>6.5</w:t>
      </w:r>
      <w:r>
        <w:rPr>
          <w:color w:val="auto"/>
          <w:sz w:val="22"/>
          <w:szCs w:val="22"/>
        </w:rPr>
        <w:tab/>
        <w:t xml:space="preserve">Another core funding stream is New Homes Bonus (NHB) which relates to growth in housing supply in the borough. The NHB scheme was changed in 2017/18 when the benefit receivable was reduced from 6 to 4 years and a growth threshold was also introduced. South Ribble has committed to pay its receipts into City Deal and therefore, because of these changes, less funding will be available for City Deal and the council’s element will cease after 2019/20.  </w:t>
      </w:r>
    </w:p>
    <w:p w:rsidR="00AA0B01" w:rsidRDefault="00AA0B01" w:rsidP="00AA0B01">
      <w:pPr>
        <w:pStyle w:val="Default"/>
        <w:ind w:left="720"/>
        <w:rPr>
          <w:color w:val="auto"/>
          <w:sz w:val="22"/>
          <w:szCs w:val="22"/>
        </w:rPr>
      </w:pPr>
    </w:p>
    <w:p w:rsidR="00AA0B01" w:rsidRDefault="00AA0B01" w:rsidP="00AA0B01">
      <w:pPr>
        <w:pStyle w:val="Default"/>
        <w:ind w:left="720" w:hanging="720"/>
        <w:rPr>
          <w:color w:val="auto"/>
          <w:sz w:val="22"/>
          <w:szCs w:val="22"/>
        </w:rPr>
      </w:pPr>
      <w:r>
        <w:rPr>
          <w:color w:val="auto"/>
          <w:sz w:val="22"/>
          <w:szCs w:val="22"/>
        </w:rPr>
        <w:lastRenderedPageBreak/>
        <w:t xml:space="preserve">6.6 </w:t>
      </w:r>
      <w:r>
        <w:rPr>
          <w:color w:val="auto"/>
          <w:sz w:val="22"/>
          <w:szCs w:val="22"/>
        </w:rPr>
        <w:tab/>
        <w:t xml:space="preserve">There is risk and uncertainty in relation to future years funding, not only because it is directly linked to growth in the borough, but also pending the outcome of Central Government’s Fair Funding review and any potential reset to the business rates retention system. In light of this, and the fact that Council tax is the major source of funding for local services, it is essential that councils monitor their collection rates and raise as much income as possible. Any under recovery of income can have a significant impact on the ability of a council to fund its service delivery. South Ribble continues to perform well in this area with collection rates of </w:t>
      </w:r>
      <w:r w:rsidRPr="00AA0B01">
        <w:rPr>
          <w:color w:val="auto"/>
          <w:sz w:val="22"/>
          <w:szCs w:val="22"/>
        </w:rPr>
        <w:t xml:space="preserve">97.42% for council tax and 98.81% for business </w:t>
      </w:r>
      <w:r>
        <w:rPr>
          <w:color w:val="auto"/>
          <w:sz w:val="22"/>
          <w:szCs w:val="22"/>
        </w:rPr>
        <w:t>rates. Comparative information on Council Tax and Business Rates Collection is set out in more detail in Appendix B.</w:t>
      </w:r>
    </w:p>
    <w:p w:rsidR="00AA0B01" w:rsidRDefault="00AA0B01" w:rsidP="00AA0B01">
      <w:pPr>
        <w:pStyle w:val="Default"/>
        <w:rPr>
          <w:color w:val="2E74B5" w:themeColor="accent1" w:themeShade="BF"/>
          <w:sz w:val="22"/>
          <w:szCs w:val="22"/>
        </w:rPr>
      </w:pPr>
    </w:p>
    <w:p w:rsidR="00AA0B01" w:rsidRDefault="00AA0B01" w:rsidP="00AA0B01">
      <w:pPr>
        <w:pStyle w:val="Default"/>
        <w:ind w:left="709" w:hanging="709"/>
        <w:rPr>
          <w:color w:val="auto"/>
          <w:sz w:val="22"/>
          <w:szCs w:val="22"/>
        </w:rPr>
      </w:pPr>
      <w:r>
        <w:rPr>
          <w:color w:val="auto"/>
          <w:sz w:val="22"/>
          <w:szCs w:val="22"/>
        </w:rPr>
        <w:t>6.</w:t>
      </w:r>
      <w:r w:rsidR="0087740C">
        <w:rPr>
          <w:color w:val="auto"/>
          <w:sz w:val="22"/>
          <w:szCs w:val="22"/>
        </w:rPr>
        <w:t>7</w:t>
      </w:r>
      <w:r>
        <w:rPr>
          <w:color w:val="auto"/>
          <w:sz w:val="22"/>
          <w:szCs w:val="22"/>
        </w:rPr>
        <w:tab/>
        <w:t xml:space="preserve">In July 2018, Council approved to transfer the 2017/18 underspend against the 2017/18 original budget of £0.770m from General </w:t>
      </w:r>
      <w:r w:rsidRPr="00AA0B01">
        <w:rPr>
          <w:color w:val="auto"/>
          <w:sz w:val="22"/>
          <w:szCs w:val="22"/>
        </w:rPr>
        <w:t>Balances to the Borough Investment earmarked reserve. Total reserves for the council increased by £0.531m to £19.519m by the end of the financial year of which £4.680m is held in a general reserve. The remaining reserves are earmarked for specific programmes of work or costs that are known to the council. The plans</w:t>
      </w:r>
      <w:r>
        <w:rPr>
          <w:color w:val="auto"/>
          <w:sz w:val="22"/>
          <w:szCs w:val="22"/>
        </w:rPr>
        <w:t xml:space="preserve"> within the council’s Medium Term Financial Strategy will see reserves reduce to an estimated £11.4m by the end of the 2022/2023 financial year. Monitoring of reserves will continue to ensure they remain appropriate and reflect the level of risk that exists around unplanned/unforeseen expenditure or loss of income. </w:t>
      </w:r>
    </w:p>
    <w:p w:rsidR="00AA0B01" w:rsidRDefault="00AA0B01" w:rsidP="00AA0B01">
      <w:pPr>
        <w:pStyle w:val="Default"/>
        <w:ind w:left="720" w:hanging="720"/>
        <w:rPr>
          <w:color w:val="auto"/>
          <w:sz w:val="22"/>
          <w:szCs w:val="22"/>
        </w:rPr>
      </w:pPr>
    </w:p>
    <w:p w:rsidR="007A3A14" w:rsidRDefault="007A3A14" w:rsidP="000560BC">
      <w:pPr>
        <w:ind w:left="720"/>
        <w:rPr>
          <w:rFonts w:cs="Arial"/>
        </w:rPr>
      </w:pPr>
      <w:r>
        <w:rPr>
          <w:rFonts w:cs="Arial"/>
        </w:rPr>
        <w:t>The in-year underspend was made up of a number of variances that are set out in Table 1 below:</w:t>
      </w:r>
    </w:p>
    <w:p w:rsidR="00A45392" w:rsidRDefault="00A45392" w:rsidP="00101E9B">
      <w:pPr>
        <w:rPr>
          <w:rFonts w:cs="Arial"/>
        </w:rPr>
      </w:pPr>
    </w:p>
    <w:p w:rsidR="00C970E4" w:rsidRDefault="00101E9B" w:rsidP="00101E9B">
      <w:pPr>
        <w:rPr>
          <w:rFonts w:cs="Arial"/>
        </w:rPr>
      </w:pPr>
      <w:r>
        <w:rPr>
          <w:rFonts w:cs="Arial"/>
        </w:rPr>
        <w:t xml:space="preserve">      </w:t>
      </w: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87740C" w:rsidRDefault="0087740C"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101E9B" w:rsidRDefault="00101E9B" w:rsidP="00AC5A6B">
      <w:pPr>
        <w:ind w:left="1440" w:firstLine="720"/>
        <w:rPr>
          <w:b/>
          <w:szCs w:val="22"/>
          <w:u w:val="single"/>
        </w:rPr>
      </w:pPr>
      <w:r>
        <w:rPr>
          <w:rFonts w:cs="Arial"/>
        </w:rPr>
        <w:t xml:space="preserve"> </w:t>
      </w:r>
      <w:r w:rsidRPr="00101E9B">
        <w:rPr>
          <w:rFonts w:cs="Arial"/>
          <w:b/>
          <w:szCs w:val="22"/>
          <w:u w:val="single"/>
        </w:rPr>
        <w:t xml:space="preserve">Table </w:t>
      </w:r>
      <w:r w:rsidR="00147A15" w:rsidRPr="00101E9B">
        <w:rPr>
          <w:rFonts w:cs="Arial"/>
          <w:b/>
          <w:szCs w:val="22"/>
          <w:u w:val="single"/>
        </w:rPr>
        <w:t>1:</w:t>
      </w:r>
      <w:r w:rsidRPr="00101E9B">
        <w:rPr>
          <w:rFonts w:cs="Arial"/>
          <w:b/>
          <w:szCs w:val="22"/>
          <w:u w:val="single"/>
        </w:rPr>
        <w:t xml:space="preserve"> </w:t>
      </w:r>
      <w:r w:rsidRPr="00101E9B">
        <w:rPr>
          <w:b/>
          <w:szCs w:val="22"/>
          <w:u w:val="single"/>
        </w:rPr>
        <w:t>Summary of Revenue Outturn Variations</w:t>
      </w:r>
    </w:p>
    <w:p w:rsidR="002658F8" w:rsidRDefault="002658F8" w:rsidP="002E1752">
      <w:pPr>
        <w:ind w:firstLine="720"/>
        <w:rPr>
          <w:b/>
          <w:szCs w:val="22"/>
          <w:u w:val="single"/>
        </w:rPr>
      </w:pPr>
    </w:p>
    <w:p w:rsidR="00AC5A6B" w:rsidRDefault="00AC5A6B" w:rsidP="00AC5A6B">
      <w:pPr>
        <w:rPr>
          <w:b/>
          <w:szCs w:val="22"/>
          <w:u w:val="single"/>
        </w:rPr>
      </w:pPr>
      <w:r w:rsidRPr="00AC5A6B">
        <w:rPr>
          <w:noProof/>
        </w:rPr>
        <w:drawing>
          <wp:inline distT="0" distB="0" distL="0" distR="0">
            <wp:extent cx="6286065" cy="6934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074" cy="6950757"/>
                    </a:xfrm>
                    <a:prstGeom prst="rect">
                      <a:avLst/>
                    </a:prstGeom>
                    <a:noFill/>
                    <a:ln>
                      <a:noFill/>
                    </a:ln>
                  </pic:spPr>
                </pic:pic>
              </a:graphicData>
            </a:graphic>
          </wp:inline>
        </w:drawing>
      </w:r>
    </w:p>
    <w:p w:rsidR="002658F8" w:rsidRDefault="002658F8" w:rsidP="002658F8">
      <w:pPr>
        <w:rPr>
          <w:rFonts w:cs="Arial"/>
        </w:rPr>
      </w:pPr>
    </w:p>
    <w:p w:rsidR="00101E9B" w:rsidRDefault="00101E9B"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101E9B" w:rsidRDefault="00101E9B" w:rsidP="002E1752">
      <w:pPr>
        <w:jc w:val="both"/>
        <w:rPr>
          <w:rFonts w:cs="Arial"/>
        </w:rPr>
      </w:pPr>
    </w:p>
    <w:p w:rsidR="00D23B41" w:rsidRDefault="007A3A14" w:rsidP="002E1752">
      <w:pPr>
        <w:ind w:left="720" w:hanging="720"/>
        <w:jc w:val="both"/>
        <w:rPr>
          <w:rFonts w:cs="Arial"/>
        </w:rPr>
      </w:pPr>
      <w:r>
        <w:rPr>
          <w:rFonts w:cs="Arial"/>
        </w:rPr>
        <w:t>6.</w:t>
      </w:r>
      <w:r w:rsidR="0087740C">
        <w:rPr>
          <w:rFonts w:cs="Arial"/>
        </w:rPr>
        <w:t>8</w:t>
      </w:r>
      <w:r>
        <w:rPr>
          <w:rFonts w:cs="Arial"/>
        </w:rPr>
        <w:tab/>
      </w:r>
      <w:r w:rsidR="00D47117">
        <w:rPr>
          <w:rFonts w:cs="Arial"/>
        </w:rPr>
        <w:t>Explanations for the key variances are as follows:</w:t>
      </w:r>
    </w:p>
    <w:p w:rsidR="007D7207" w:rsidRDefault="007D7207" w:rsidP="002E1752">
      <w:pPr>
        <w:ind w:left="720" w:hanging="720"/>
        <w:jc w:val="both"/>
        <w:rPr>
          <w:rFonts w:cs="Arial"/>
        </w:rPr>
      </w:pPr>
    </w:p>
    <w:p w:rsidR="00AB183A" w:rsidRDefault="00AB183A" w:rsidP="0087740C">
      <w:pPr>
        <w:ind w:left="567"/>
        <w:jc w:val="both"/>
        <w:rPr>
          <w:rFonts w:cs="Arial"/>
        </w:rPr>
      </w:pPr>
    </w:p>
    <w:p w:rsidR="00A90ABA" w:rsidRPr="0087740C" w:rsidRDefault="0087740C" w:rsidP="0087740C">
      <w:pPr>
        <w:ind w:left="720" w:hanging="720"/>
        <w:jc w:val="center"/>
        <w:rPr>
          <w:rFonts w:cs="Arial"/>
          <w:b/>
          <w:u w:val="single"/>
        </w:rPr>
      </w:pPr>
      <w:r w:rsidRPr="0087740C">
        <w:rPr>
          <w:rFonts w:cs="Arial"/>
          <w:b/>
          <w:u w:val="single"/>
        </w:rPr>
        <w:t xml:space="preserve">Table 2: </w:t>
      </w:r>
      <w:r w:rsidR="00232FD5" w:rsidRPr="0087740C">
        <w:rPr>
          <w:rFonts w:cs="Arial"/>
          <w:b/>
          <w:u w:val="single"/>
        </w:rPr>
        <w:t>Revenue</w:t>
      </w:r>
      <w:r w:rsidRPr="0087740C">
        <w:rPr>
          <w:rFonts w:cs="Arial"/>
          <w:b/>
          <w:u w:val="single"/>
        </w:rPr>
        <w:t xml:space="preserve"> Variations</w:t>
      </w:r>
      <w:r w:rsidR="00232FD5" w:rsidRPr="0087740C">
        <w:rPr>
          <w:rFonts w:cs="Arial"/>
          <w:b/>
          <w:u w:val="single"/>
        </w:rPr>
        <w:t xml:space="preserve"> by Directorate</w:t>
      </w:r>
    </w:p>
    <w:p w:rsidR="00A90ABA" w:rsidRDefault="00A90ABA" w:rsidP="00D23B41">
      <w:pPr>
        <w:ind w:left="360"/>
        <w:jc w:val="both"/>
        <w:rPr>
          <w:rFonts w:cs="Arial"/>
          <w:b/>
          <w:i/>
        </w:rPr>
      </w:pPr>
    </w:p>
    <w:tbl>
      <w:tblPr>
        <w:tblStyle w:val="TableGrid"/>
        <w:tblW w:w="0" w:type="auto"/>
        <w:tblInd w:w="360" w:type="dxa"/>
        <w:tblLayout w:type="fixed"/>
        <w:tblLook w:val="04A0" w:firstRow="1" w:lastRow="0" w:firstColumn="1" w:lastColumn="0" w:noHBand="0" w:noVBand="1"/>
      </w:tblPr>
      <w:tblGrid>
        <w:gridCol w:w="2612"/>
        <w:gridCol w:w="6095"/>
      </w:tblGrid>
      <w:tr w:rsidR="00D53BB6" w:rsidTr="002E1752">
        <w:tc>
          <w:tcPr>
            <w:tcW w:w="2612" w:type="dxa"/>
          </w:tcPr>
          <w:p w:rsidR="00D53BB6" w:rsidRPr="005E1EFA" w:rsidRDefault="005E1EFA" w:rsidP="005E1EFA">
            <w:pPr>
              <w:jc w:val="both"/>
              <w:rPr>
                <w:rFonts w:eastAsia="Calibri" w:cs="Arial"/>
                <w:b/>
                <w:szCs w:val="22"/>
                <w:lang w:eastAsia="en-US"/>
              </w:rPr>
            </w:pPr>
            <w:r w:rsidRPr="005E1EFA">
              <w:rPr>
                <w:rFonts w:eastAsia="Calibri" w:cs="Arial"/>
                <w:b/>
                <w:szCs w:val="22"/>
                <w:lang w:eastAsia="en-US"/>
              </w:rPr>
              <w:t>Directorate</w:t>
            </w:r>
          </w:p>
        </w:tc>
        <w:tc>
          <w:tcPr>
            <w:tcW w:w="6095" w:type="dxa"/>
          </w:tcPr>
          <w:p w:rsidR="00D53BB6" w:rsidRPr="005E1EFA" w:rsidRDefault="00D53BB6" w:rsidP="00D23B41">
            <w:pPr>
              <w:jc w:val="both"/>
              <w:rPr>
                <w:rFonts w:cs="Arial"/>
                <w:b/>
                <w:i/>
              </w:rPr>
            </w:pPr>
            <w:r w:rsidRPr="005E1EFA">
              <w:rPr>
                <w:rFonts w:cs="Arial"/>
                <w:b/>
                <w:i/>
              </w:rPr>
              <w:t>Description</w:t>
            </w:r>
          </w:p>
        </w:tc>
      </w:tr>
      <w:tr w:rsidR="00D53BB6" w:rsidTr="002E1752">
        <w:tc>
          <w:tcPr>
            <w:tcW w:w="2612" w:type="dxa"/>
          </w:tcPr>
          <w:p w:rsidR="00D53BB6" w:rsidRPr="005E1EFA" w:rsidRDefault="005E1EFA" w:rsidP="00D23B41">
            <w:pPr>
              <w:jc w:val="both"/>
              <w:rPr>
                <w:rFonts w:eastAsia="Calibri" w:cs="Arial"/>
                <w:b/>
                <w:szCs w:val="22"/>
                <w:lang w:eastAsia="en-US"/>
              </w:rPr>
            </w:pPr>
            <w:r w:rsidRPr="005E1EFA">
              <w:rPr>
                <w:rFonts w:eastAsia="Calibri" w:cs="Arial"/>
                <w:b/>
                <w:szCs w:val="22"/>
                <w:lang w:eastAsia="en-US"/>
              </w:rPr>
              <w:t xml:space="preserve">Chief Executive </w:t>
            </w:r>
          </w:p>
          <w:p w:rsidR="00D53BB6" w:rsidRPr="006D6606" w:rsidRDefault="005E1EFA" w:rsidP="005E1EFA">
            <w:pPr>
              <w:jc w:val="both"/>
              <w:rPr>
                <w:rFonts w:cs="Arial"/>
                <w:i/>
                <w:color w:val="FF0000"/>
              </w:rPr>
            </w:pPr>
            <w:r w:rsidRPr="005E1EFA">
              <w:rPr>
                <w:rFonts w:eastAsia="Calibri" w:cs="Arial"/>
                <w:i/>
                <w:szCs w:val="22"/>
                <w:lang w:eastAsia="en-US"/>
              </w:rPr>
              <w:t xml:space="preserve">Overspend </w:t>
            </w:r>
            <w:r w:rsidR="00D53BB6" w:rsidRPr="005E1EFA">
              <w:rPr>
                <w:rFonts w:eastAsia="Calibri" w:cs="Arial"/>
                <w:i/>
                <w:szCs w:val="22"/>
                <w:lang w:eastAsia="en-US"/>
              </w:rPr>
              <w:t>£</w:t>
            </w:r>
            <w:r w:rsidRPr="005E1EFA">
              <w:rPr>
                <w:rFonts w:eastAsia="Calibri" w:cs="Arial"/>
                <w:i/>
                <w:szCs w:val="22"/>
                <w:lang w:eastAsia="en-US"/>
              </w:rPr>
              <w:t>23</w:t>
            </w:r>
            <w:r w:rsidR="00D53BB6" w:rsidRPr="005E1EFA">
              <w:rPr>
                <w:rFonts w:eastAsia="Calibri" w:cs="Arial"/>
                <w:i/>
                <w:szCs w:val="22"/>
                <w:lang w:eastAsia="en-US"/>
              </w:rPr>
              <w:t>k</w:t>
            </w:r>
          </w:p>
        </w:tc>
        <w:tc>
          <w:tcPr>
            <w:tcW w:w="6095" w:type="dxa"/>
          </w:tcPr>
          <w:p w:rsidR="00D53BB6" w:rsidRPr="006D6606" w:rsidRDefault="00D53BB6" w:rsidP="00602CF8">
            <w:pPr>
              <w:jc w:val="both"/>
              <w:rPr>
                <w:rFonts w:cs="Arial"/>
                <w:b/>
                <w:i/>
                <w:color w:val="FF0000"/>
              </w:rPr>
            </w:pPr>
            <w:r w:rsidRPr="005E1EFA">
              <w:rPr>
                <w:rFonts w:eastAsia="Calibri" w:cs="Arial"/>
                <w:szCs w:val="22"/>
                <w:lang w:eastAsia="en-US"/>
              </w:rPr>
              <w:t>The £</w:t>
            </w:r>
            <w:r w:rsidR="005E1EFA" w:rsidRPr="005E1EFA">
              <w:rPr>
                <w:rFonts w:eastAsia="Calibri" w:cs="Arial"/>
                <w:szCs w:val="22"/>
                <w:lang w:eastAsia="en-US"/>
              </w:rPr>
              <w:t>23</w:t>
            </w:r>
            <w:r w:rsidRPr="005E1EFA">
              <w:rPr>
                <w:rFonts w:eastAsia="Calibri" w:cs="Arial"/>
                <w:szCs w:val="22"/>
                <w:lang w:eastAsia="en-US"/>
              </w:rPr>
              <w:t xml:space="preserve">k </w:t>
            </w:r>
            <w:r w:rsidR="0066294B">
              <w:rPr>
                <w:rFonts w:eastAsia="Calibri" w:cs="Arial"/>
                <w:szCs w:val="22"/>
                <w:lang w:eastAsia="en-US"/>
              </w:rPr>
              <w:t xml:space="preserve">net </w:t>
            </w:r>
            <w:r w:rsidR="005E1EFA" w:rsidRPr="005E1EFA">
              <w:rPr>
                <w:rFonts w:eastAsia="Calibri" w:cs="Arial"/>
                <w:szCs w:val="22"/>
                <w:lang w:eastAsia="en-US"/>
              </w:rPr>
              <w:t>over</w:t>
            </w:r>
            <w:r w:rsidRPr="005E1EFA">
              <w:rPr>
                <w:rFonts w:eastAsia="Calibri" w:cs="Arial"/>
                <w:szCs w:val="22"/>
                <w:lang w:eastAsia="en-US"/>
              </w:rPr>
              <w:t xml:space="preserve">spend is </w:t>
            </w:r>
            <w:r w:rsidR="0066294B">
              <w:rPr>
                <w:rFonts w:eastAsia="Calibri" w:cs="Arial"/>
                <w:szCs w:val="22"/>
                <w:lang w:eastAsia="en-US"/>
              </w:rPr>
              <w:t xml:space="preserve">mainly </w:t>
            </w:r>
            <w:r w:rsidRPr="005E1EFA">
              <w:rPr>
                <w:rFonts w:eastAsia="Calibri" w:cs="Arial"/>
                <w:szCs w:val="22"/>
                <w:lang w:eastAsia="en-US"/>
              </w:rPr>
              <w:t xml:space="preserve">due to </w:t>
            </w:r>
            <w:r w:rsidR="0066294B">
              <w:rPr>
                <w:rFonts w:eastAsia="Calibri" w:cs="Arial"/>
                <w:szCs w:val="22"/>
                <w:lang w:eastAsia="en-US"/>
              </w:rPr>
              <w:t xml:space="preserve">higher than forecast </w:t>
            </w:r>
            <w:r w:rsidR="005C52C5">
              <w:rPr>
                <w:rFonts w:eastAsia="Calibri" w:cs="Arial"/>
                <w:szCs w:val="22"/>
                <w:lang w:eastAsia="en-US"/>
              </w:rPr>
              <w:t xml:space="preserve">external </w:t>
            </w:r>
            <w:r w:rsidR="0066294B">
              <w:rPr>
                <w:rFonts w:eastAsia="Calibri" w:cs="Arial"/>
                <w:szCs w:val="22"/>
                <w:lang w:eastAsia="en-US"/>
              </w:rPr>
              <w:t>staff recruitment costs</w:t>
            </w:r>
            <w:r w:rsidRPr="006D6606">
              <w:rPr>
                <w:rFonts w:eastAsia="Calibri" w:cs="Arial"/>
                <w:color w:val="FF0000"/>
                <w:szCs w:val="22"/>
                <w:lang w:eastAsia="en-US"/>
              </w:rPr>
              <w:t>.</w:t>
            </w:r>
          </w:p>
        </w:tc>
      </w:tr>
      <w:tr w:rsidR="00D53BB6" w:rsidTr="002E1752">
        <w:tc>
          <w:tcPr>
            <w:tcW w:w="2612" w:type="dxa"/>
          </w:tcPr>
          <w:p w:rsidR="00D53BB6" w:rsidRPr="0086309C" w:rsidRDefault="005B36AD" w:rsidP="00D23B41">
            <w:pPr>
              <w:jc w:val="both"/>
              <w:rPr>
                <w:rFonts w:eastAsia="Calibri" w:cs="Arial"/>
                <w:b/>
                <w:szCs w:val="22"/>
                <w:lang w:eastAsia="en-US"/>
              </w:rPr>
            </w:pPr>
            <w:r w:rsidRPr="0086309C">
              <w:rPr>
                <w:rFonts w:eastAsia="Calibri" w:cs="Arial"/>
                <w:b/>
                <w:szCs w:val="22"/>
                <w:lang w:eastAsia="en-US"/>
              </w:rPr>
              <w:t>Neighbourhoods and D</w:t>
            </w:r>
            <w:r w:rsidR="0086309C" w:rsidRPr="0086309C">
              <w:rPr>
                <w:rFonts w:eastAsia="Calibri" w:cs="Arial"/>
                <w:b/>
                <w:szCs w:val="22"/>
                <w:lang w:eastAsia="en-US"/>
              </w:rPr>
              <w:t>ev</w:t>
            </w:r>
            <w:r w:rsidRPr="0086309C">
              <w:rPr>
                <w:rFonts w:eastAsia="Calibri" w:cs="Arial"/>
                <w:b/>
                <w:szCs w:val="22"/>
                <w:lang w:eastAsia="en-US"/>
              </w:rPr>
              <w:t>elopment</w:t>
            </w:r>
          </w:p>
          <w:p w:rsidR="00D53BB6" w:rsidRPr="006D6606" w:rsidRDefault="00D53BB6" w:rsidP="0086309C">
            <w:pPr>
              <w:jc w:val="both"/>
              <w:rPr>
                <w:rFonts w:eastAsia="Calibri" w:cs="Arial"/>
                <w:i/>
                <w:color w:val="FF0000"/>
                <w:szCs w:val="22"/>
                <w:lang w:eastAsia="en-US"/>
              </w:rPr>
            </w:pPr>
            <w:r w:rsidRPr="0086309C">
              <w:rPr>
                <w:rFonts w:eastAsia="Calibri" w:cs="Arial"/>
                <w:i/>
                <w:szCs w:val="22"/>
                <w:lang w:eastAsia="en-US"/>
              </w:rPr>
              <w:t>Underspend £</w:t>
            </w:r>
            <w:r w:rsidR="0086309C" w:rsidRPr="0086309C">
              <w:rPr>
                <w:rFonts w:eastAsia="Calibri" w:cs="Arial"/>
                <w:i/>
                <w:szCs w:val="22"/>
                <w:lang w:eastAsia="en-US"/>
              </w:rPr>
              <w:t>215</w:t>
            </w:r>
            <w:r w:rsidRPr="0086309C">
              <w:rPr>
                <w:rFonts w:eastAsia="Calibri" w:cs="Arial"/>
                <w:i/>
                <w:szCs w:val="22"/>
                <w:lang w:eastAsia="en-US"/>
              </w:rPr>
              <w:t>k</w:t>
            </w:r>
          </w:p>
        </w:tc>
        <w:tc>
          <w:tcPr>
            <w:tcW w:w="6095" w:type="dxa"/>
          </w:tcPr>
          <w:p w:rsidR="00BF540E" w:rsidRDefault="00D53BB6" w:rsidP="00995A4D">
            <w:pPr>
              <w:rPr>
                <w:rFonts w:eastAsia="Calibri"/>
              </w:rPr>
            </w:pPr>
            <w:r w:rsidRPr="007A4F57">
              <w:rPr>
                <w:rFonts w:eastAsia="Calibri"/>
              </w:rPr>
              <w:t>The underspending include</w:t>
            </w:r>
            <w:r w:rsidR="000364B2">
              <w:rPr>
                <w:rFonts w:eastAsia="Calibri"/>
              </w:rPr>
              <w:t xml:space="preserve">s the following </w:t>
            </w:r>
            <w:r w:rsidR="00432F8F">
              <w:rPr>
                <w:rFonts w:eastAsia="Calibri"/>
              </w:rPr>
              <w:t xml:space="preserve">savings against budget: </w:t>
            </w:r>
            <w:r w:rsidRPr="007A4F57">
              <w:rPr>
                <w:rFonts w:eastAsia="Calibri"/>
              </w:rPr>
              <w:t>repairs and maintenance of buildings</w:t>
            </w:r>
            <w:r w:rsidR="00432F8F">
              <w:rPr>
                <w:rFonts w:eastAsia="Calibri"/>
              </w:rPr>
              <w:t xml:space="preserve"> £57k</w:t>
            </w:r>
            <w:r w:rsidR="005A45C6">
              <w:rPr>
                <w:rFonts w:eastAsia="Calibri"/>
              </w:rPr>
              <w:t>,</w:t>
            </w:r>
            <w:r w:rsidR="00432F8F">
              <w:rPr>
                <w:rFonts w:eastAsia="Calibri"/>
              </w:rPr>
              <w:t xml:space="preserve"> car parks repairs and maintenance £1</w:t>
            </w:r>
            <w:r w:rsidR="006323A7">
              <w:rPr>
                <w:rFonts w:eastAsia="Calibri"/>
              </w:rPr>
              <w:t>5</w:t>
            </w:r>
            <w:r w:rsidR="00432F8F">
              <w:rPr>
                <w:rFonts w:eastAsia="Calibri"/>
              </w:rPr>
              <w:t>k,</w:t>
            </w:r>
            <w:r w:rsidR="006323A7">
              <w:rPr>
                <w:rFonts w:eastAsia="Calibri"/>
              </w:rPr>
              <w:t xml:space="preserve"> </w:t>
            </w:r>
            <w:r w:rsidR="00D12A2C">
              <w:rPr>
                <w:rFonts w:eastAsia="Calibri"/>
              </w:rPr>
              <w:t>m</w:t>
            </w:r>
            <w:r w:rsidR="00D12A2C" w:rsidRPr="00D12A2C">
              <w:rPr>
                <w:rFonts w:eastAsia="Calibri"/>
              </w:rPr>
              <w:t>ore efficiencies on vehicle maintenance due to new vehicle/plant purchases in year</w:t>
            </w:r>
            <w:r w:rsidR="006323A7">
              <w:rPr>
                <w:rFonts w:eastAsia="Calibri"/>
              </w:rPr>
              <w:t xml:space="preserve"> £17k, </w:t>
            </w:r>
            <w:r w:rsidR="00105146" w:rsidRPr="00105146">
              <w:rPr>
                <w:rFonts w:eastAsia="Calibri"/>
              </w:rPr>
              <w:t>equipment and materials £15k,</w:t>
            </w:r>
            <w:r w:rsidR="00105146">
              <w:rPr>
                <w:rFonts w:eastAsia="Calibri"/>
                <w:color w:val="FF0000"/>
              </w:rPr>
              <w:t xml:space="preserve"> </w:t>
            </w:r>
            <w:r w:rsidR="00105146" w:rsidRPr="00105146">
              <w:rPr>
                <w:rFonts w:eastAsia="Calibri"/>
              </w:rPr>
              <w:t>energy performance certificates budget £20k</w:t>
            </w:r>
            <w:r w:rsidR="00BF540E">
              <w:rPr>
                <w:rFonts w:eastAsia="Calibri"/>
              </w:rPr>
              <w:t>, publicity and promotion £11k</w:t>
            </w:r>
            <w:r w:rsidR="000364B2">
              <w:rPr>
                <w:rFonts w:eastAsia="Calibri"/>
              </w:rPr>
              <w:t>, external catering £11k</w:t>
            </w:r>
            <w:r w:rsidR="00C32C6A">
              <w:rPr>
                <w:rFonts w:eastAsia="Calibri"/>
              </w:rPr>
              <w:t>, utilities costs (electricity,</w:t>
            </w:r>
            <w:r w:rsidR="002C4547">
              <w:rPr>
                <w:rFonts w:eastAsia="Calibri"/>
              </w:rPr>
              <w:t xml:space="preserve"> </w:t>
            </w:r>
            <w:r w:rsidR="00C32C6A">
              <w:rPr>
                <w:rFonts w:eastAsia="Calibri"/>
              </w:rPr>
              <w:t>gas,</w:t>
            </w:r>
            <w:r w:rsidR="002C4547">
              <w:rPr>
                <w:rFonts w:eastAsia="Calibri"/>
              </w:rPr>
              <w:t xml:space="preserve"> </w:t>
            </w:r>
            <w:r w:rsidR="00C32C6A">
              <w:rPr>
                <w:rFonts w:eastAsia="Calibri"/>
              </w:rPr>
              <w:t>oil,</w:t>
            </w:r>
            <w:r w:rsidR="002C4547">
              <w:rPr>
                <w:rFonts w:eastAsia="Calibri"/>
              </w:rPr>
              <w:t xml:space="preserve"> </w:t>
            </w:r>
            <w:r w:rsidR="00C32C6A">
              <w:rPr>
                <w:rFonts w:eastAsia="Calibri"/>
              </w:rPr>
              <w:t>water)</w:t>
            </w:r>
            <w:r w:rsidR="00C0176A">
              <w:rPr>
                <w:rFonts w:eastAsia="Calibri"/>
              </w:rPr>
              <w:t xml:space="preserve"> </w:t>
            </w:r>
            <w:r w:rsidR="00C32C6A">
              <w:rPr>
                <w:rFonts w:eastAsia="Calibri"/>
              </w:rPr>
              <w:t>£14k</w:t>
            </w:r>
            <w:r w:rsidR="002C4547">
              <w:rPr>
                <w:rFonts w:eastAsia="Calibri"/>
              </w:rPr>
              <w:t xml:space="preserve"> saving.</w:t>
            </w:r>
          </w:p>
          <w:p w:rsidR="00BF540E" w:rsidRDefault="00BF540E" w:rsidP="00105146">
            <w:pPr>
              <w:jc w:val="both"/>
              <w:rPr>
                <w:rFonts w:eastAsia="Calibri" w:cs="Arial"/>
                <w:szCs w:val="22"/>
                <w:lang w:eastAsia="en-US"/>
              </w:rPr>
            </w:pPr>
          </w:p>
          <w:p w:rsidR="00105146" w:rsidRDefault="007238BC" w:rsidP="00105146">
            <w:pPr>
              <w:jc w:val="both"/>
              <w:rPr>
                <w:rFonts w:eastAsia="Calibri" w:cs="Arial"/>
                <w:color w:val="FF0000"/>
                <w:szCs w:val="22"/>
                <w:lang w:eastAsia="en-US"/>
              </w:rPr>
            </w:pPr>
            <w:r>
              <w:rPr>
                <w:rFonts w:eastAsia="Calibri" w:cs="Arial"/>
                <w:szCs w:val="22"/>
                <w:lang w:eastAsia="en-US"/>
              </w:rPr>
              <w:t xml:space="preserve">With regard to income variations in this Directorate; </w:t>
            </w:r>
            <w:r w:rsidR="00E01D99">
              <w:rPr>
                <w:rFonts w:eastAsia="Calibri" w:cs="Arial"/>
                <w:szCs w:val="22"/>
                <w:lang w:eastAsia="en-US"/>
              </w:rPr>
              <w:t xml:space="preserve">prior-year </w:t>
            </w:r>
            <w:r>
              <w:rPr>
                <w:rFonts w:eastAsia="Calibri" w:cs="Arial"/>
                <w:szCs w:val="22"/>
                <w:lang w:eastAsia="en-US"/>
              </w:rPr>
              <w:t xml:space="preserve">costs in relation to </w:t>
            </w:r>
            <w:r w:rsidR="00105146">
              <w:rPr>
                <w:rFonts w:eastAsia="Calibri" w:cs="Arial"/>
                <w:szCs w:val="22"/>
                <w:lang w:eastAsia="en-US"/>
              </w:rPr>
              <w:t>default and other housing enforcement works w</w:t>
            </w:r>
            <w:r w:rsidR="002C4547">
              <w:rPr>
                <w:rFonts w:eastAsia="Calibri" w:cs="Arial"/>
                <w:szCs w:val="22"/>
                <w:lang w:eastAsia="en-US"/>
              </w:rPr>
              <w:t>ere</w:t>
            </w:r>
            <w:r w:rsidR="00105146">
              <w:rPr>
                <w:rFonts w:eastAsia="Calibri" w:cs="Arial"/>
                <w:szCs w:val="22"/>
                <w:lang w:eastAsia="en-US"/>
              </w:rPr>
              <w:t xml:space="preserve"> recovered</w:t>
            </w:r>
            <w:r w:rsidR="00E01D99">
              <w:rPr>
                <w:rFonts w:eastAsia="Calibri" w:cs="Arial"/>
                <w:szCs w:val="22"/>
                <w:lang w:eastAsia="en-US"/>
              </w:rPr>
              <w:t xml:space="preserve"> £25k and C</w:t>
            </w:r>
            <w:r>
              <w:rPr>
                <w:rFonts w:eastAsia="Calibri" w:cs="Arial"/>
                <w:szCs w:val="22"/>
                <w:lang w:eastAsia="en-US"/>
              </w:rPr>
              <w:t>ivic Centre income increased by £14k</w:t>
            </w:r>
            <w:r w:rsidR="00BF540E">
              <w:rPr>
                <w:rFonts w:eastAsia="Calibri" w:cs="Arial"/>
                <w:szCs w:val="22"/>
                <w:lang w:eastAsia="en-US"/>
              </w:rPr>
              <w:t>.</w:t>
            </w:r>
            <w:r>
              <w:rPr>
                <w:rFonts w:eastAsia="Calibri" w:cs="Arial"/>
                <w:szCs w:val="22"/>
                <w:lang w:eastAsia="en-US"/>
              </w:rPr>
              <w:t xml:space="preserve">  </w:t>
            </w:r>
            <w:r w:rsidR="00105146">
              <w:rPr>
                <w:rFonts w:eastAsia="Calibri" w:cs="Arial"/>
                <w:szCs w:val="22"/>
                <w:lang w:eastAsia="en-US"/>
              </w:rPr>
              <w:t xml:space="preserve"> </w:t>
            </w:r>
          </w:p>
          <w:p w:rsidR="00D53BB6" w:rsidRPr="006D6606" w:rsidRDefault="00D53BB6" w:rsidP="00105146">
            <w:pPr>
              <w:jc w:val="both"/>
              <w:rPr>
                <w:rFonts w:cs="Arial"/>
                <w:b/>
                <w:i/>
                <w:color w:val="FF0000"/>
              </w:rPr>
            </w:pPr>
          </w:p>
        </w:tc>
      </w:tr>
      <w:tr w:rsidR="00D53BB6" w:rsidTr="002E1752">
        <w:tc>
          <w:tcPr>
            <w:tcW w:w="2612" w:type="dxa"/>
          </w:tcPr>
          <w:p w:rsidR="00D53BB6" w:rsidRPr="0086309C" w:rsidRDefault="0086309C" w:rsidP="00D23B41">
            <w:pPr>
              <w:jc w:val="both"/>
              <w:rPr>
                <w:rFonts w:eastAsia="Calibri" w:cs="Arial"/>
                <w:b/>
                <w:szCs w:val="22"/>
                <w:lang w:eastAsia="en-US"/>
              </w:rPr>
            </w:pPr>
            <w:r w:rsidRPr="0086309C">
              <w:rPr>
                <w:rFonts w:eastAsia="Calibri" w:cs="Arial"/>
                <w:b/>
                <w:szCs w:val="22"/>
                <w:lang w:eastAsia="en-US"/>
              </w:rPr>
              <w:t xml:space="preserve">Planning and Property </w:t>
            </w:r>
          </w:p>
          <w:p w:rsidR="00D53BB6" w:rsidRPr="006D6606" w:rsidRDefault="00D53BB6" w:rsidP="0086309C">
            <w:pPr>
              <w:jc w:val="both"/>
              <w:rPr>
                <w:rFonts w:cs="Arial"/>
                <w:i/>
                <w:color w:val="FF0000"/>
              </w:rPr>
            </w:pPr>
            <w:r w:rsidRPr="0086309C">
              <w:rPr>
                <w:rFonts w:eastAsia="Calibri" w:cs="Arial"/>
                <w:i/>
                <w:szCs w:val="22"/>
                <w:lang w:eastAsia="en-US"/>
              </w:rPr>
              <w:t>Overspend £</w:t>
            </w:r>
            <w:r w:rsidR="0086309C" w:rsidRPr="0086309C">
              <w:rPr>
                <w:rFonts w:eastAsia="Calibri" w:cs="Arial"/>
                <w:i/>
                <w:szCs w:val="22"/>
                <w:lang w:eastAsia="en-US"/>
              </w:rPr>
              <w:t>79</w:t>
            </w:r>
            <w:r w:rsidRPr="0086309C">
              <w:rPr>
                <w:rFonts w:eastAsia="Calibri" w:cs="Arial"/>
                <w:i/>
                <w:szCs w:val="22"/>
                <w:lang w:eastAsia="en-US"/>
              </w:rPr>
              <w:t>k</w:t>
            </w:r>
          </w:p>
        </w:tc>
        <w:tc>
          <w:tcPr>
            <w:tcW w:w="6095" w:type="dxa"/>
          </w:tcPr>
          <w:p w:rsidR="00A13E68" w:rsidRDefault="00D53BB6" w:rsidP="00995A4D">
            <w:pPr>
              <w:rPr>
                <w:color w:val="000000"/>
              </w:rPr>
            </w:pPr>
            <w:r w:rsidRPr="0008776E">
              <w:rPr>
                <w:rFonts w:eastAsia="Calibri"/>
              </w:rPr>
              <w:t xml:space="preserve">The </w:t>
            </w:r>
            <w:r w:rsidR="0008776E">
              <w:rPr>
                <w:rFonts w:eastAsia="Calibri"/>
              </w:rPr>
              <w:t xml:space="preserve">net budget </w:t>
            </w:r>
            <w:r w:rsidRPr="0008776E">
              <w:rPr>
                <w:rFonts w:eastAsia="Calibri"/>
              </w:rPr>
              <w:t>overspend is mainly as a result of</w:t>
            </w:r>
            <w:r w:rsidR="00C0176A">
              <w:rPr>
                <w:rFonts w:eastAsia="Calibri"/>
              </w:rPr>
              <w:t xml:space="preserve"> the following</w:t>
            </w:r>
            <w:r w:rsidR="0008776E">
              <w:rPr>
                <w:rFonts w:eastAsia="Calibri"/>
              </w:rPr>
              <w:t>:</w:t>
            </w:r>
            <w:r w:rsidR="00C0176A">
              <w:rPr>
                <w:rFonts w:eastAsia="Calibri"/>
              </w:rPr>
              <w:t xml:space="preserve"> Agency staff costs to cover vacant senior planner higher than forecast £11k; </w:t>
            </w:r>
            <w:r w:rsidR="00F913A9">
              <w:rPr>
                <w:rFonts w:eastAsia="Calibri"/>
              </w:rPr>
              <w:t>Leisure Partnership manager one-off costs £13k; P</w:t>
            </w:r>
            <w:r w:rsidR="0008776E" w:rsidRPr="00C0176A">
              <w:t>lanning applications in</w:t>
            </w:r>
            <w:r w:rsidR="00C0176A" w:rsidRPr="00C0176A">
              <w:t>come</w:t>
            </w:r>
            <w:r w:rsidR="002935AC">
              <w:t xml:space="preserve"> less</w:t>
            </w:r>
            <w:r w:rsidR="00C0176A" w:rsidRPr="00C0176A">
              <w:t xml:space="preserve"> than forecast £26k: t</w:t>
            </w:r>
            <w:r w:rsidR="0008776E" w:rsidRPr="00C0176A">
              <w:t xml:space="preserve">his is a timing difference </w:t>
            </w:r>
            <w:r w:rsidR="0008776E" w:rsidRPr="0008776E">
              <w:rPr>
                <w:color w:val="000000"/>
              </w:rPr>
              <w:t>on anticipated application received dates</w:t>
            </w:r>
            <w:r w:rsidR="00C0176A">
              <w:rPr>
                <w:color w:val="000000"/>
              </w:rPr>
              <w:t xml:space="preserve">; </w:t>
            </w:r>
            <w:r w:rsidR="00A13E68">
              <w:rPr>
                <w:color w:val="000000"/>
              </w:rPr>
              <w:t xml:space="preserve">Pre-planning income </w:t>
            </w:r>
            <w:r w:rsidR="00C0176A">
              <w:rPr>
                <w:color w:val="000000"/>
              </w:rPr>
              <w:t xml:space="preserve">shortfall </w:t>
            </w:r>
            <w:r w:rsidR="004F022E">
              <w:rPr>
                <w:color w:val="000000"/>
              </w:rPr>
              <w:t xml:space="preserve">due to take-up lower than anticipated </w:t>
            </w:r>
            <w:r w:rsidR="00A13E68">
              <w:rPr>
                <w:color w:val="000000"/>
              </w:rPr>
              <w:t>£30k</w:t>
            </w:r>
            <w:r w:rsidR="00F913A9">
              <w:rPr>
                <w:color w:val="000000"/>
              </w:rPr>
              <w:t xml:space="preserve">; Investment Property rental income </w:t>
            </w:r>
            <w:r w:rsidR="004F022E">
              <w:rPr>
                <w:color w:val="000000"/>
              </w:rPr>
              <w:t xml:space="preserve">overall </w:t>
            </w:r>
            <w:r w:rsidR="00F913A9">
              <w:rPr>
                <w:color w:val="000000"/>
              </w:rPr>
              <w:t>shortfall £10k</w:t>
            </w:r>
            <w:r w:rsidR="00C0176A">
              <w:rPr>
                <w:color w:val="000000"/>
              </w:rPr>
              <w:t>.</w:t>
            </w:r>
          </w:p>
          <w:p w:rsidR="00A13E68" w:rsidRDefault="00A13E68" w:rsidP="0008776E">
            <w:pPr>
              <w:spacing w:after="200" w:line="276" w:lineRule="auto"/>
              <w:ind w:right="-1"/>
              <w:contextualSpacing/>
              <w:jc w:val="both"/>
              <w:rPr>
                <w:rFonts w:cs="Arial"/>
                <w:color w:val="000000"/>
                <w:szCs w:val="22"/>
              </w:rPr>
            </w:pPr>
          </w:p>
          <w:p w:rsidR="00A13E68" w:rsidRDefault="00A13E68" w:rsidP="00995A4D">
            <w:r>
              <w:t xml:space="preserve">This is partly offset by Building Control fees </w:t>
            </w:r>
            <w:r w:rsidR="00C0176A">
              <w:t xml:space="preserve">exceeding the forecast by </w:t>
            </w:r>
            <w:r>
              <w:t>£37k</w:t>
            </w:r>
            <w:r w:rsidR="00C0176A">
              <w:t xml:space="preserve">. </w:t>
            </w:r>
            <w:r w:rsidR="00C0176A" w:rsidRPr="00C0176A">
              <w:t xml:space="preserve">The team have </w:t>
            </w:r>
            <w:r w:rsidR="00C0176A">
              <w:t>pro-active</w:t>
            </w:r>
            <w:r w:rsidR="008A03CE">
              <w:t xml:space="preserve">ly won </w:t>
            </w:r>
            <w:r w:rsidR="00C0176A" w:rsidRPr="00C0176A">
              <w:t>new business</w:t>
            </w:r>
            <w:r w:rsidR="008A03CE">
              <w:t xml:space="preserve">, </w:t>
            </w:r>
            <w:r w:rsidR="004F022E">
              <w:t>including for a new housing development for which the service has been paid up-front, rather than on a plot-by plot basis.</w:t>
            </w:r>
          </w:p>
          <w:p w:rsidR="00D53BB6" w:rsidRPr="006D6606" w:rsidRDefault="00A13E68" w:rsidP="00C0176A">
            <w:pPr>
              <w:spacing w:after="200" w:line="276" w:lineRule="auto"/>
              <w:ind w:right="-1"/>
              <w:contextualSpacing/>
              <w:jc w:val="both"/>
              <w:rPr>
                <w:rFonts w:cs="Arial"/>
                <w:b/>
                <w:i/>
                <w:color w:val="FF0000"/>
              </w:rPr>
            </w:pPr>
            <w:r>
              <w:rPr>
                <w:rFonts w:cs="Arial"/>
                <w:color w:val="000000"/>
                <w:szCs w:val="22"/>
              </w:rPr>
              <w:t xml:space="preserve"> </w:t>
            </w:r>
          </w:p>
        </w:tc>
      </w:tr>
      <w:tr w:rsidR="00D53BB6" w:rsidTr="002E1752">
        <w:tc>
          <w:tcPr>
            <w:tcW w:w="2612" w:type="dxa"/>
          </w:tcPr>
          <w:p w:rsidR="00D53BB6" w:rsidRPr="00995A4D" w:rsidRDefault="0086309C" w:rsidP="00995A4D">
            <w:pPr>
              <w:rPr>
                <w:rFonts w:eastAsia="Calibri"/>
                <w:b/>
              </w:rPr>
            </w:pPr>
            <w:r w:rsidRPr="00995A4D">
              <w:rPr>
                <w:rFonts w:eastAsia="Calibri"/>
                <w:b/>
              </w:rPr>
              <w:t>Customer Experience and Operations</w:t>
            </w:r>
          </w:p>
          <w:p w:rsidR="00D53BB6" w:rsidRPr="006D6606" w:rsidRDefault="00D53BB6" w:rsidP="00995A4D">
            <w:pPr>
              <w:rPr>
                <w:i/>
                <w:color w:val="FF0000"/>
              </w:rPr>
            </w:pPr>
            <w:r w:rsidRPr="0086309C">
              <w:rPr>
                <w:rFonts w:eastAsia="Calibri"/>
                <w:i/>
              </w:rPr>
              <w:t>Underspend £</w:t>
            </w:r>
            <w:r w:rsidR="0086309C" w:rsidRPr="0086309C">
              <w:rPr>
                <w:rFonts w:eastAsia="Calibri"/>
                <w:i/>
              </w:rPr>
              <w:t>34</w:t>
            </w:r>
            <w:r w:rsidRPr="0086309C">
              <w:rPr>
                <w:rFonts w:eastAsia="Calibri"/>
                <w:i/>
              </w:rPr>
              <w:t>k</w:t>
            </w:r>
          </w:p>
        </w:tc>
        <w:tc>
          <w:tcPr>
            <w:tcW w:w="6095" w:type="dxa"/>
          </w:tcPr>
          <w:p w:rsidR="00714291" w:rsidRDefault="00D53BB6" w:rsidP="00714291">
            <w:pPr>
              <w:rPr>
                <w:rFonts w:eastAsia="Calibri"/>
                <w:color w:val="FF0000"/>
              </w:rPr>
            </w:pPr>
            <w:r w:rsidRPr="00714291">
              <w:rPr>
                <w:rFonts w:eastAsia="Calibri"/>
              </w:rPr>
              <w:t>The underspend</w:t>
            </w:r>
            <w:r w:rsidR="000770C8">
              <w:rPr>
                <w:rFonts w:eastAsia="Calibri"/>
              </w:rPr>
              <w:t>ing</w:t>
            </w:r>
            <w:r w:rsidRPr="00714291">
              <w:rPr>
                <w:rFonts w:eastAsia="Calibri"/>
              </w:rPr>
              <w:t xml:space="preserve"> was achieved through a reduction in </w:t>
            </w:r>
            <w:r w:rsidR="00714291" w:rsidRPr="00714291">
              <w:rPr>
                <w:rFonts w:eastAsia="Calibri"/>
              </w:rPr>
              <w:t xml:space="preserve">Housing Benefits costs </w:t>
            </w:r>
            <w:r w:rsidRPr="00714291">
              <w:rPr>
                <w:rFonts w:eastAsia="Calibri"/>
              </w:rPr>
              <w:t xml:space="preserve">£10k, lower than anticipated </w:t>
            </w:r>
            <w:r w:rsidR="00714291">
              <w:rPr>
                <w:rFonts w:eastAsia="Calibri"/>
              </w:rPr>
              <w:t xml:space="preserve">staff </w:t>
            </w:r>
            <w:r w:rsidR="00714291" w:rsidRPr="00714291">
              <w:rPr>
                <w:rFonts w:eastAsia="Calibri"/>
              </w:rPr>
              <w:t xml:space="preserve">training </w:t>
            </w:r>
            <w:r w:rsidR="000770C8">
              <w:rPr>
                <w:rFonts w:eastAsia="Calibri"/>
              </w:rPr>
              <w:t xml:space="preserve">expenditure </w:t>
            </w:r>
            <w:r w:rsidRPr="00714291">
              <w:rPr>
                <w:rFonts w:eastAsia="Calibri"/>
              </w:rPr>
              <w:t>£</w:t>
            </w:r>
            <w:r w:rsidR="00714291" w:rsidRPr="000770C8">
              <w:rPr>
                <w:rFonts w:eastAsia="Calibri"/>
              </w:rPr>
              <w:t xml:space="preserve">10k, </w:t>
            </w:r>
            <w:r w:rsidRPr="000770C8">
              <w:rPr>
                <w:rFonts w:eastAsia="Calibri"/>
              </w:rPr>
              <w:t xml:space="preserve">and </w:t>
            </w:r>
            <w:r w:rsidR="000770C8" w:rsidRPr="000770C8">
              <w:rPr>
                <w:rFonts w:eastAsia="Calibri"/>
              </w:rPr>
              <w:t>£12k saving in IT costs.</w:t>
            </w:r>
          </w:p>
          <w:p w:rsidR="00714291" w:rsidRPr="006D6606" w:rsidRDefault="00714291" w:rsidP="00714291">
            <w:pPr>
              <w:rPr>
                <w:i/>
                <w:color w:val="FF0000"/>
              </w:rPr>
            </w:pPr>
          </w:p>
        </w:tc>
      </w:tr>
      <w:tr w:rsidR="00714291" w:rsidTr="002E1752">
        <w:tc>
          <w:tcPr>
            <w:tcW w:w="2612" w:type="dxa"/>
          </w:tcPr>
          <w:p w:rsidR="00714291" w:rsidRDefault="00714291" w:rsidP="00714291">
            <w:pPr>
              <w:rPr>
                <w:rFonts w:eastAsia="Calibri"/>
                <w:b/>
              </w:rPr>
            </w:pPr>
            <w:r>
              <w:rPr>
                <w:rFonts w:eastAsia="Calibri"/>
                <w:b/>
              </w:rPr>
              <w:t xml:space="preserve">Finance and Assurance </w:t>
            </w:r>
          </w:p>
          <w:p w:rsidR="00714291" w:rsidRDefault="00714291" w:rsidP="0087740C">
            <w:pPr>
              <w:rPr>
                <w:rFonts w:eastAsia="Calibri"/>
                <w:b/>
              </w:rPr>
            </w:pPr>
            <w:r w:rsidRPr="0086309C">
              <w:rPr>
                <w:rFonts w:eastAsia="Calibri" w:cs="Arial"/>
                <w:i/>
                <w:szCs w:val="22"/>
                <w:lang w:eastAsia="en-US"/>
              </w:rPr>
              <w:t>Overspend £</w:t>
            </w:r>
            <w:r>
              <w:rPr>
                <w:rFonts w:eastAsia="Calibri" w:cs="Arial"/>
                <w:i/>
                <w:szCs w:val="22"/>
                <w:lang w:eastAsia="en-US"/>
              </w:rPr>
              <w:t>53</w:t>
            </w:r>
            <w:r w:rsidRPr="0086309C">
              <w:rPr>
                <w:rFonts w:eastAsia="Calibri" w:cs="Arial"/>
                <w:i/>
                <w:szCs w:val="22"/>
                <w:lang w:eastAsia="en-US"/>
              </w:rPr>
              <w:t>k</w:t>
            </w:r>
            <w:r>
              <w:rPr>
                <w:rFonts w:eastAsia="Calibri"/>
                <w:b/>
              </w:rPr>
              <w:t xml:space="preserve"> </w:t>
            </w:r>
          </w:p>
          <w:p w:rsidR="0087740C" w:rsidRPr="00995A4D" w:rsidRDefault="0087740C" w:rsidP="0087740C">
            <w:pPr>
              <w:rPr>
                <w:rFonts w:eastAsia="Calibri"/>
                <w:b/>
              </w:rPr>
            </w:pPr>
          </w:p>
        </w:tc>
        <w:tc>
          <w:tcPr>
            <w:tcW w:w="6095" w:type="dxa"/>
          </w:tcPr>
          <w:p w:rsidR="00714291" w:rsidRPr="008B6406" w:rsidRDefault="00714291" w:rsidP="0087740C">
            <w:pPr>
              <w:rPr>
                <w:rFonts w:eastAsia="Calibri"/>
              </w:rPr>
            </w:pPr>
            <w:r w:rsidRPr="008B6406">
              <w:rPr>
                <w:rFonts w:eastAsia="Calibri"/>
              </w:rPr>
              <w:t>Th</w:t>
            </w:r>
            <w:r w:rsidR="008B6406" w:rsidRPr="008B6406">
              <w:rPr>
                <w:rFonts w:eastAsia="Calibri"/>
              </w:rPr>
              <w:t xml:space="preserve">is </w:t>
            </w:r>
            <w:r w:rsidRPr="008B6406">
              <w:rPr>
                <w:rFonts w:eastAsia="Calibri"/>
              </w:rPr>
              <w:t xml:space="preserve">budget </w:t>
            </w:r>
            <w:r w:rsidR="008B6406" w:rsidRPr="008B6406">
              <w:rPr>
                <w:rFonts w:eastAsia="Calibri"/>
              </w:rPr>
              <w:t xml:space="preserve">overspend </w:t>
            </w:r>
            <w:r w:rsidR="0087740C">
              <w:rPr>
                <w:rFonts w:eastAsia="Calibri"/>
              </w:rPr>
              <w:t xml:space="preserve">includes </w:t>
            </w:r>
            <w:r w:rsidR="008B6406" w:rsidRPr="008B6406">
              <w:rPr>
                <w:rFonts w:eastAsia="Calibri"/>
              </w:rPr>
              <w:t>a</w:t>
            </w:r>
            <w:r w:rsidRPr="008B6406">
              <w:rPr>
                <w:rFonts w:eastAsia="Calibri"/>
              </w:rPr>
              <w:t xml:space="preserve"> one-off increase in the provision for bad debts </w:t>
            </w:r>
            <w:r w:rsidR="008B6406" w:rsidRPr="008B6406">
              <w:rPr>
                <w:rFonts w:eastAsia="Calibri"/>
              </w:rPr>
              <w:t xml:space="preserve">of </w:t>
            </w:r>
            <w:r w:rsidRPr="008B6406">
              <w:rPr>
                <w:rFonts w:eastAsia="Calibri"/>
              </w:rPr>
              <w:t>£</w:t>
            </w:r>
            <w:r w:rsidR="008B6406" w:rsidRPr="008B6406">
              <w:rPr>
                <w:rFonts w:eastAsia="Calibri"/>
              </w:rPr>
              <w:t>62k.</w:t>
            </w:r>
          </w:p>
        </w:tc>
      </w:tr>
      <w:tr w:rsidR="00714291" w:rsidTr="002E1752">
        <w:tc>
          <w:tcPr>
            <w:tcW w:w="2612" w:type="dxa"/>
          </w:tcPr>
          <w:p w:rsidR="00714291" w:rsidRPr="00714291" w:rsidRDefault="00714291" w:rsidP="00714291">
            <w:pPr>
              <w:rPr>
                <w:b/>
              </w:rPr>
            </w:pPr>
            <w:r w:rsidRPr="00714291">
              <w:rPr>
                <w:b/>
              </w:rPr>
              <w:t>Legal, HR and Democratic</w:t>
            </w:r>
          </w:p>
          <w:p w:rsidR="00714291" w:rsidRPr="006D6606" w:rsidRDefault="00714291" w:rsidP="00714291">
            <w:pPr>
              <w:rPr>
                <w:i/>
                <w:color w:val="FF0000"/>
              </w:rPr>
            </w:pPr>
            <w:r w:rsidRPr="0086309C">
              <w:rPr>
                <w:i/>
              </w:rPr>
              <w:t>Underspend £4k</w:t>
            </w:r>
          </w:p>
        </w:tc>
        <w:tc>
          <w:tcPr>
            <w:tcW w:w="6095" w:type="dxa"/>
          </w:tcPr>
          <w:p w:rsidR="00714291" w:rsidRPr="00C30E38" w:rsidRDefault="00714291" w:rsidP="00714291">
            <w:r w:rsidRPr="00C30E38">
              <w:t xml:space="preserve">The </w:t>
            </w:r>
            <w:r w:rsidR="00C30E38" w:rsidRPr="00C30E38">
              <w:t xml:space="preserve">net underspend </w:t>
            </w:r>
            <w:r w:rsidR="0087740C">
              <w:t xml:space="preserve">is mainly due to </w:t>
            </w:r>
            <w:r w:rsidR="00C30E38" w:rsidRPr="00C30E38">
              <w:t>actual licensing income exceeding the budget forecast.</w:t>
            </w:r>
          </w:p>
          <w:p w:rsidR="00714291" w:rsidRPr="006D6606" w:rsidRDefault="00714291" w:rsidP="00714291">
            <w:pPr>
              <w:rPr>
                <w:color w:val="FF0000"/>
              </w:rPr>
            </w:pPr>
          </w:p>
        </w:tc>
      </w:tr>
      <w:tr w:rsidR="00714291" w:rsidTr="002E1752">
        <w:tc>
          <w:tcPr>
            <w:tcW w:w="2612" w:type="dxa"/>
          </w:tcPr>
          <w:p w:rsidR="00714291" w:rsidRPr="00073770" w:rsidRDefault="00714291" w:rsidP="00714291">
            <w:pPr>
              <w:spacing w:after="120"/>
              <w:rPr>
                <w:b/>
              </w:rPr>
            </w:pPr>
            <w:r w:rsidRPr="00073770">
              <w:rPr>
                <w:b/>
              </w:rPr>
              <w:t xml:space="preserve">Budgets not in Directorates </w:t>
            </w:r>
          </w:p>
          <w:p w:rsidR="00714291" w:rsidRPr="006D6606" w:rsidRDefault="00714291" w:rsidP="00714291">
            <w:pPr>
              <w:spacing w:after="120"/>
              <w:jc w:val="both"/>
              <w:rPr>
                <w:i/>
                <w:color w:val="FF0000"/>
              </w:rPr>
            </w:pPr>
            <w:r w:rsidRPr="00073770">
              <w:rPr>
                <w:i/>
              </w:rPr>
              <w:t>Underspend £86k</w:t>
            </w:r>
          </w:p>
        </w:tc>
        <w:tc>
          <w:tcPr>
            <w:tcW w:w="6095" w:type="dxa"/>
          </w:tcPr>
          <w:p w:rsidR="00714291" w:rsidRPr="006D6606" w:rsidRDefault="00714291" w:rsidP="0087740C">
            <w:pPr>
              <w:rPr>
                <w:color w:val="FF0000"/>
              </w:rPr>
            </w:pPr>
            <w:r w:rsidRPr="00617450">
              <w:t>Short-term investment interest increase of £</w:t>
            </w:r>
            <w:r>
              <w:t>83</w:t>
            </w:r>
            <w:r w:rsidRPr="00617450">
              <w:t xml:space="preserve">k as a result of having higher cash balances </w:t>
            </w:r>
            <w:r>
              <w:t xml:space="preserve">(£303k) </w:t>
            </w:r>
            <w:r w:rsidRPr="00617450">
              <w:t xml:space="preserve">than forecast </w:t>
            </w:r>
            <w:r>
              <w:t xml:space="preserve">(£220k) </w:t>
            </w:r>
            <w:r w:rsidRPr="00617450">
              <w:t xml:space="preserve">and higher rates being achieved on the re-investment of funds during the year.  Comparatives for the </w:t>
            </w:r>
            <w:r w:rsidRPr="00617450">
              <w:lastRenderedPageBreak/>
              <w:t>previous financial year are set out in</w:t>
            </w:r>
            <w:r w:rsidR="0087740C">
              <w:t xml:space="preserve"> T</w:t>
            </w:r>
            <w:r w:rsidRPr="00617450">
              <w:t xml:space="preserve">able </w:t>
            </w:r>
            <w:r w:rsidR="0087740C">
              <w:t xml:space="preserve">3 </w:t>
            </w:r>
            <w:r w:rsidRPr="00617450">
              <w:t>below. The actual average rate of return achieved in 2018/19 was 0.755% which compares favourably to 0.495% achieved in 2017/18.</w:t>
            </w:r>
          </w:p>
        </w:tc>
      </w:tr>
    </w:tbl>
    <w:p w:rsidR="00C50CD1" w:rsidRPr="0087740C" w:rsidRDefault="0087740C" w:rsidP="0087740C">
      <w:pPr>
        <w:ind w:left="720" w:hanging="720"/>
        <w:jc w:val="center"/>
        <w:rPr>
          <w:b/>
          <w:u w:val="single"/>
        </w:rPr>
      </w:pPr>
      <w:r w:rsidRPr="0087740C">
        <w:rPr>
          <w:b/>
          <w:u w:val="single"/>
        </w:rPr>
        <w:lastRenderedPageBreak/>
        <w:t>Table 3: S</w:t>
      </w:r>
      <w:r w:rsidR="00617450" w:rsidRPr="0087740C">
        <w:rPr>
          <w:b/>
          <w:u w:val="single"/>
        </w:rPr>
        <w:t>hort-term investment interest</w:t>
      </w:r>
    </w:p>
    <w:p w:rsidR="003E6A06" w:rsidRPr="00617450" w:rsidRDefault="003E6A06" w:rsidP="002E1752"/>
    <w:tbl>
      <w:tblPr>
        <w:tblW w:w="7599"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8"/>
        <w:gridCol w:w="2091"/>
        <w:gridCol w:w="1985"/>
        <w:gridCol w:w="1925"/>
      </w:tblGrid>
      <w:tr w:rsidR="006D6606" w:rsidRPr="006D6606" w:rsidTr="00AF7BB4">
        <w:trPr>
          <w:trHeight w:val="364"/>
        </w:trPr>
        <w:tc>
          <w:tcPr>
            <w:tcW w:w="7599" w:type="dxa"/>
            <w:gridSpan w:val="4"/>
            <w:noWrap/>
            <w:tcMar>
              <w:top w:w="0" w:type="dxa"/>
              <w:left w:w="108" w:type="dxa"/>
              <w:bottom w:w="0" w:type="dxa"/>
              <w:right w:w="108" w:type="dxa"/>
            </w:tcMar>
            <w:vAlign w:val="bottom"/>
          </w:tcPr>
          <w:p w:rsidR="00862EB8" w:rsidRPr="00B528A8" w:rsidRDefault="00862EB8" w:rsidP="00617450">
            <w:pPr>
              <w:jc w:val="center"/>
              <w:rPr>
                <w:rFonts w:cs="Arial"/>
                <w:b/>
                <w:szCs w:val="22"/>
              </w:rPr>
            </w:pPr>
            <w:r w:rsidRPr="00B528A8">
              <w:rPr>
                <w:rFonts w:cs="Arial"/>
                <w:b/>
                <w:szCs w:val="22"/>
              </w:rPr>
              <w:t>Comparison of interest earned 201</w:t>
            </w:r>
            <w:r w:rsidR="00B528A8" w:rsidRPr="00B528A8">
              <w:rPr>
                <w:rFonts w:cs="Arial"/>
                <w:b/>
                <w:szCs w:val="22"/>
              </w:rPr>
              <w:t>7</w:t>
            </w:r>
            <w:r w:rsidRPr="00B528A8">
              <w:rPr>
                <w:rFonts w:cs="Arial"/>
                <w:b/>
                <w:szCs w:val="22"/>
              </w:rPr>
              <w:t>/1</w:t>
            </w:r>
            <w:r w:rsidR="00B528A8" w:rsidRPr="00B528A8">
              <w:rPr>
                <w:rFonts w:cs="Arial"/>
                <w:b/>
                <w:szCs w:val="22"/>
              </w:rPr>
              <w:t>8</w:t>
            </w:r>
            <w:r w:rsidRPr="00B528A8">
              <w:rPr>
                <w:rFonts w:cs="Arial"/>
                <w:b/>
                <w:szCs w:val="22"/>
              </w:rPr>
              <w:t xml:space="preserve"> and 201</w:t>
            </w:r>
            <w:r w:rsidR="00B528A8" w:rsidRPr="00B528A8">
              <w:rPr>
                <w:rFonts w:cs="Arial"/>
                <w:b/>
                <w:szCs w:val="22"/>
              </w:rPr>
              <w:t>8</w:t>
            </w:r>
            <w:r w:rsidRPr="00B528A8">
              <w:rPr>
                <w:rFonts w:cs="Arial"/>
                <w:b/>
                <w:szCs w:val="22"/>
              </w:rPr>
              <w:t>/1</w:t>
            </w:r>
            <w:r w:rsidR="00B528A8" w:rsidRPr="00B528A8">
              <w:rPr>
                <w:rFonts w:cs="Arial"/>
                <w:b/>
                <w:szCs w:val="22"/>
              </w:rPr>
              <w:t>9</w:t>
            </w:r>
          </w:p>
        </w:tc>
      </w:tr>
      <w:tr w:rsidR="006D6606" w:rsidRPr="006D6606" w:rsidTr="00AF7BB4">
        <w:trPr>
          <w:trHeight w:val="364"/>
        </w:trPr>
        <w:tc>
          <w:tcPr>
            <w:tcW w:w="1598" w:type="dxa"/>
            <w:noWrap/>
            <w:tcMar>
              <w:top w:w="0" w:type="dxa"/>
              <w:left w:w="108" w:type="dxa"/>
              <w:bottom w:w="0" w:type="dxa"/>
              <w:right w:w="108" w:type="dxa"/>
            </w:tcMar>
            <w:vAlign w:val="bottom"/>
            <w:hideMark/>
          </w:tcPr>
          <w:p w:rsidR="00C970E4" w:rsidRPr="006D6606" w:rsidRDefault="00C970E4" w:rsidP="00617450">
            <w:pPr>
              <w:jc w:val="center"/>
              <w:rPr>
                <w:b/>
                <w:color w:val="FF0000"/>
                <w:szCs w:val="22"/>
              </w:rPr>
            </w:pPr>
          </w:p>
        </w:tc>
        <w:tc>
          <w:tcPr>
            <w:tcW w:w="2091" w:type="dxa"/>
            <w:noWrap/>
            <w:tcMar>
              <w:top w:w="0" w:type="dxa"/>
              <w:left w:w="108" w:type="dxa"/>
              <w:bottom w:w="0" w:type="dxa"/>
              <w:right w:w="108" w:type="dxa"/>
            </w:tcMar>
            <w:vAlign w:val="bottom"/>
            <w:hideMark/>
          </w:tcPr>
          <w:p w:rsidR="00C970E4" w:rsidRPr="00B528A8" w:rsidRDefault="00C970E4" w:rsidP="00617450">
            <w:pPr>
              <w:jc w:val="center"/>
              <w:rPr>
                <w:rFonts w:eastAsiaTheme="minorHAnsi" w:cs="Arial"/>
                <w:b/>
                <w:szCs w:val="22"/>
              </w:rPr>
            </w:pPr>
            <w:r w:rsidRPr="00B528A8">
              <w:rPr>
                <w:rFonts w:cs="Arial"/>
                <w:b/>
                <w:szCs w:val="22"/>
              </w:rPr>
              <w:t>Average Balance</w:t>
            </w:r>
          </w:p>
        </w:tc>
        <w:tc>
          <w:tcPr>
            <w:tcW w:w="1985" w:type="dxa"/>
            <w:noWrap/>
            <w:tcMar>
              <w:top w:w="0" w:type="dxa"/>
              <w:left w:w="108" w:type="dxa"/>
              <w:bottom w:w="0" w:type="dxa"/>
              <w:right w:w="108" w:type="dxa"/>
            </w:tcMar>
            <w:vAlign w:val="bottom"/>
            <w:hideMark/>
          </w:tcPr>
          <w:p w:rsidR="00C970E4" w:rsidRPr="00B528A8" w:rsidRDefault="00C970E4" w:rsidP="00617450">
            <w:pPr>
              <w:jc w:val="center"/>
              <w:rPr>
                <w:rFonts w:cs="Arial"/>
                <w:b/>
                <w:szCs w:val="22"/>
              </w:rPr>
            </w:pPr>
            <w:r w:rsidRPr="00B528A8">
              <w:rPr>
                <w:rFonts w:cs="Arial"/>
                <w:b/>
                <w:szCs w:val="22"/>
              </w:rPr>
              <w:t>Average Rate</w:t>
            </w:r>
          </w:p>
        </w:tc>
        <w:tc>
          <w:tcPr>
            <w:tcW w:w="1925" w:type="dxa"/>
            <w:noWrap/>
            <w:tcMar>
              <w:top w:w="0" w:type="dxa"/>
              <w:left w:w="108" w:type="dxa"/>
              <w:bottom w:w="0" w:type="dxa"/>
              <w:right w:w="108" w:type="dxa"/>
            </w:tcMar>
            <w:vAlign w:val="bottom"/>
            <w:hideMark/>
          </w:tcPr>
          <w:p w:rsidR="00C970E4" w:rsidRPr="00B528A8" w:rsidRDefault="00C970E4" w:rsidP="00617450">
            <w:pPr>
              <w:jc w:val="center"/>
              <w:rPr>
                <w:rFonts w:cs="Arial"/>
                <w:b/>
                <w:szCs w:val="22"/>
              </w:rPr>
            </w:pPr>
            <w:r w:rsidRPr="00B528A8">
              <w:rPr>
                <w:rFonts w:cs="Arial"/>
                <w:b/>
                <w:szCs w:val="22"/>
              </w:rPr>
              <w:t>Interest Earned</w:t>
            </w:r>
          </w:p>
        </w:tc>
      </w:tr>
      <w:tr w:rsidR="00B528A8" w:rsidTr="00AF7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rPr>
                <w:rFonts w:ascii="Calibri" w:hAnsi="Calibri"/>
              </w:rPr>
            </w:pPr>
            <w:r>
              <w:rPr>
                <w:b/>
                <w:bCs/>
              </w:rPr>
              <w:t>2017/18</w:t>
            </w:r>
          </w:p>
        </w:tc>
        <w:tc>
          <w:tcPr>
            <w:tcW w:w="2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£36,164,564</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0.495%</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£179,120</w:t>
            </w:r>
          </w:p>
        </w:tc>
      </w:tr>
      <w:tr w:rsidR="00B528A8" w:rsidTr="00AF7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rPr>
                <w:b/>
                <w:bCs/>
              </w:rPr>
              <w:t>2018/19</w:t>
            </w:r>
          </w:p>
        </w:tc>
        <w:tc>
          <w:tcPr>
            <w:tcW w:w="2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£40,054,734</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0.755%</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£302,594</w:t>
            </w:r>
          </w:p>
        </w:tc>
      </w:tr>
    </w:tbl>
    <w:p w:rsidR="00A62202" w:rsidRPr="006D6606" w:rsidRDefault="00A62202" w:rsidP="008A4F66">
      <w:pPr>
        <w:jc w:val="both"/>
        <w:rPr>
          <w:b/>
          <w:i/>
          <w:color w:val="FF0000"/>
        </w:rPr>
      </w:pPr>
    </w:p>
    <w:p w:rsidR="0087740C" w:rsidRPr="0087740C" w:rsidRDefault="0087740C" w:rsidP="0087740C">
      <w:pPr>
        <w:rPr>
          <w:rFonts w:eastAsia="Calibri"/>
          <w:b/>
        </w:rPr>
      </w:pPr>
    </w:p>
    <w:p w:rsidR="0087740C" w:rsidRPr="0087740C" w:rsidRDefault="0087740C" w:rsidP="0087740C">
      <w:pPr>
        <w:rPr>
          <w:b/>
          <w:color w:val="FF0000"/>
        </w:rPr>
      </w:pPr>
      <w:r w:rsidRPr="0087740C">
        <w:rPr>
          <w:rFonts w:eastAsia="Calibri"/>
          <w:b/>
        </w:rPr>
        <w:t>Income</w:t>
      </w:r>
    </w:p>
    <w:p w:rsidR="0087740C" w:rsidRPr="00D23B41" w:rsidRDefault="0087740C" w:rsidP="0087740C"/>
    <w:p w:rsidR="0087740C" w:rsidRDefault="0087740C" w:rsidP="0087740C">
      <w:r w:rsidRPr="00232FD5">
        <w:t>6.</w:t>
      </w:r>
      <w:r>
        <w:t>9</w:t>
      </w:r>
      <w:r w:rsidRPr="00232FD5">
        <w:tab/>
        <w:t xml:space="preserve">A key element of financial performance for the Council is the out-turn position achieved in respect of its higher value key income streams which are subject to external factors as well as being demand led.  Due to the element of risk involved performance is specifically reported throughout the year and the final position is set out in Appendix A.  </w:t>
      </w:r>
    </w:p>
    <w:p w:rsidR="008D725B" w:rsidRPr="008D725B" w:rsidRDefault="008D725B" w:rsidP="008A4F66">
      <w:pPr>
        <w:jc w:val="both"/>
        <w:rPr>
          <w:b/>
        </w:rPr>
      </w:pPr>
    </w:p>
    <w:p w:rsidR="004D0A39" w:rsidRPr="008D725B" w:rsidRDefault="00A62202" w:rsidP="008A4F66">
      <w:pPr>
        <w:jc w:val="both"/>
        <w:rPr>
          <w:b/>
        </w:rPr>
      </w:pPr>
      <w:r w:rsidRPr="008D725B">
        <w:rPr>
          <w:b/>
        </w:rPr>
        <w:t>Funding</w:t>
      </w:r>
      <w:r w:rsidR="008D725B" w:rsidRPr="008D725B">
        <w:rPr>
          <w:b/>
        </w:rPr>
        <w:t xml:space="preserve"> variations</w:t>
      </w:r>
    </w:p>
    <w:p w:rsidR="00D20C5C" w:rsidRPr="00AF7BB4" w:rsidRDefault="00D20C5C" w:rsidP="008A4F66">
      <w:pPr>
        <w:jc w:val="both"/>
        <w:rPr>
          <w:b/>
          <w:i/>
        </w:rPr>
      </w:pPr>
    </w:p>
    <w:p w:rsidR="00F23052" w:rsidRDefault="00C50CD1" w:rsidP="008D725B">
      <w:pPr>
        <w:ind w:left="720" w:hanging="720"/>
        <w:jc w:val="both"/>
      </w:pPr>
      <w:r w:rsidRPr="00AF7BB4">
        <w:t>6.</w:t>
      </w:r>
      <w:r w:rsidR="008D725B">
        <w:t>10</w:t>
      </w:r>
      <w:r w:rsidR="00107A09" w:rsidRPr="00AF7BB4">
        <w:tab/>
      </w:r>
      <w:r w:rsidR="00862EB8" w:rsidRPr="00AF7BB4">
        <w:t>A</w:t>
      </w:r>
      <w:r w:rsidR="00F23052" w:rsidRPr="00AF7BB4">
        <w:t xml:space="preserve">dditional </w:t>
      </w:r>
      <w:r w:rsidR="00D457C8">
        <w:t xml:space="preserve">government grant </w:t>
      </w:r>
      <w:r w:rsidR="00F23052" w:rsidRPr="00AF7BB4">
        <w:t>funding</w:t>
      </w:r>
      <w:r w:rsidR="00D20C5C" w:rsidRPr="00AF7BB4">
        <w:t xml:space="preserve"> of £</w:t>
      </w:r>
      <w:r w:rsidR="00AF7BB4" w:rsidRPr="00AF7BB4">
        <w:t>10</w:t>
      </w:r>
      <w:r w:rsidR="00D20C5C" w:rsidRPr="00AF7BB4">
        <w:t>k was received</w:t>
      </w:r>
      <w:r w:rsidR="00F23052" w:rsidRPr="00AF7BB4">
        <w:t xml:space="preserve"> </w:t>
      </w:r>
      <w:r w:rsidR="008D725B">
        <w:t>during 2018/19</w:t>
      </w:r>
      <w:r w:rsidR="00D457C8">
        <w:t xml:space="preserve">. The £97k reduction in net contributions from earmarked reserves was due to the specific expenditure being funded from reserves being less than forecast.    </w:t>
      </w:r>
      <w:r w:rsidR="008D725B">
        <w:t xml:space="preserve"> </w:t>
      </w:r>
    </w:p>
    <w:p w:rsidR="008D725B" w:rsidRPr="00AF7BB4" w:rsidRDefault="008D725B">
      <w:pPr>
        <w:jc w:val="both"/>
      </w:pPr>
    </w:p>
    <w:p w:rsidR="00A62202" w:rsidRPr="00C30E38" w:rsidRDefault="00147A15" w:rsidP="00026900">
      <w:pPr>
        <w:pBdr>
          <w:top w:val="single" w:sz="2" w:space="1" w:color="FFFFFF"/>
          <w:left w:val="single" w:sz="2" w:space="0" w:color="FFFFFF"/>
          <w:bottom w:val="single" w:sz="2" w:space="0" w:color="FFFFFF"/>
          <w:right w:val="single" w:sz="2" w:space="4" w:color="FFFFFF"/>
        </w:pBdr>
        <w:ind w:right="141"/>
        <w:jc w:val="both"/>
        <w:rPr>
          <w:b/>
        </w:rPr>
      </w:pPr>
      <w:r w:rsidRPr="00C30E38">
        <w:rPr>
          <w:b/>
        </w:rPr>
        <w:t>C</w:t>
      </w:r>
      <w:r w:rsidR="00A62202" w:rsidRPr="00C30E38">
        <w:rPr>
          <w:b/>
        </w:rPr>
        <w:t>ore Income Fund Collection</w:t>
      </w:r>
    </w:p>
    <w:p w:rsidR="00D23B41" w:rsidRPr="006D6606" w:rsidRDefault="00D23B41" w:rsidP="00026900">
      <w:pPr>
        <w:pBdr>
          <w:top w:val="single" w:sz="2" w:space="1" w:color="FFFFFF"/>
          <w:left w:val="single" w:sz="2" w:space="0" w:color="FFFFFF"/>
          <w:bottom w:val="single" w:sz="2" w:space="0" w:color="FFFFFF"/>
          <w:right w:val="single" w:sz="2" w:space="4" w:color="FFFFFF"/>
        </w:pBdr>
        <w:ind w:right="141"/>
        <w:jc w:val="both"/>
        <w:rPr>
          <w:color w:val="FF0000"/>
        </w:rPr>
      </w:pPr>
    </w:p>
    <w:p w:rsidR="00D23B41" w:rsidRPr="006D6606" w:rsidRDefault="00C50CD1" w:rsidP="002E1752">
      <w:pPr>
        <w:pBdr>
          <w:top w:val="single" w:sz="2" w:space="1" w:color="FFFFFF"/>
          <w:left w:val="single" w:sz="2" w:space="0" w:color="FFFFFF"/>
          <w:bottom w:val="single" w:sz="2" w:space="2" w:color="FFFFFF"/>
          <w:right w:val="single" w:sz="2" w:space="4" w:color="FFFFFF"/>
        </w:pBdr>
        <w:tabs>
          <w:tab w:val="left" w:pos="6237"/>
        </w:tabs>
        <w:ind w:left="720" w:hanging="720"/>
        <w:jc w:val="both"/>
        <w:rPr>
          <w:rFonts w:cs="Arial"/>
          <w:color w:val="FF0000"/>
        </w:rPr>
      </w:pPr>
      <w:r w:rsidRPr="00C30E38">
        <w:t>6.</w:t>
      </w:r>
      <w:r w:rsidR="00A20DC5">
        <w:t>11</w:t>
      </w:r>
      <w:r w:rsidR="00107A09" w:rsidRPr="00C30E38">
        <w:tab/>
      </w:r>
      <w:r w:rsidR="00D23B41" w:rsidRPr="00C30E38">
        <w:t xml:space="preserve">The Council’s performance on income collection is a critical factor in respect of its financial matters.  As per </w:t>
      </w:r>
      <w:r w:rsidR="00D23B41" w:rsidRPr="00C30E38">
        <w:rPr>
          <w:b/>
        </w:rPr>
        <w:t xml:space="preserve">Appendix </w:t>
      </w:r>
      <w:r w:rsidR="00107A09" w:rsidRPr="00C30E38">
        <w:rPr>
          <w:b/>
        </w:rPr>
        <w:t>B</w:t>
      </w:r>
      <w:r w:rsidR="00D23B41" w:rsidRPr="00C30E38">
        <w:t xml:space="preserve"> the</w:t>
      </w:r>
      <w:r w:rsidR="00E72B76" w:rsidRPr="00C30E38">
        <w:t xml:space="preserve">re has been little change in </w:t>
      </w:r>
      <w:r w:rsidR="00147A15" w:rsidRPr="00C30E38">
        <w:t>the in</w:t>
      </w:r>
      <w:r w:rsidR="00D23B41" w:rsidRPr="00C30E38">
        <w:t xml:space="preserve">-year collection statistics for Council Tax, Business Rates and general Sundry Debtor accounts </w:t>
      </w:r>
      <w:r w:rsidR="00E72B76" w:rsidRPr="00C30E38">
        <w:t>compared to the previous year (201</w:t>
      </w:r>
      <w:r w:rsidR="00C30E38" w:rsidRPr="00C30E38">
        <w:t>7</w:t>
      </w:r>
      <w:r w:rsidR="00E72B76" w:rsidRPr="00C30E38">
        <w:t>/1</w:t>
      </w:r>
      <w:r w:rsidR="00C30E38" w:rsidRPr="00C30E38">
        <w:t>8</w:t>
      </w:r>
      <w:r w:rsidR="00E72B76" w:rsidRPr="00C30E38">
        <w:t>)</w:t>
      </w:r>
      <w:r w:rsidR="00D23B41" w:rsidRPr="00C30E38">
        <w:t>.</w:t>
      </w:r>
      <w:r w:rsidR="00E72B76" w:rsidRPr="00C30E38">
        <w:t xml:space="preserve"> </w:t>
      </w:r>
      <w:r w:rsidR="00312FA8" w:rsidRPr="00C30E38">
        <w:t>Performance continues to be strong</w:t>
      </w:r>
      <w:r w:rsidR="00D7343A" w:rsidRPr="00C30E38">
        <w:t xml:space="preserve"> with </w:t>
      </w:r>
      <w:r w:rsidR="00D7343A" w:rsidRPr="00C30E38">
        <w:rPr>
          <w:rFonts w:cs="Arial"/>
        </w:rPr>
        <w:t xml:space="preserve">a slight </w:t>
      </w:r>
      <w:r w:rsidR="00C30E38" w:rsidRPr="00C30E38">
        <w:rPr>
          <w:rFonts w:cs="Arial"/>
        </w:rPr>
        <w:t>de</w:t>
      </w:r>
      <w:r w:rsidR="00D7343A" w:rsidRPr="00C30E38">
        <w:rPr>
          <w:rFonts w:cs="Arial"/>
        </w:rPr>
        <w:t>crease in the Council Tax Collection Rate (0.0</w:t>
      </w:r>
      <w:r w:rsidR="00C30E38" w:rsidRPr="00C30E38">
        <w:rPr>
          <w:rFonts w:cs="Arial"/>
        </w:rPr>
        <w:t>8</w:t>
      </w:r>
      <w:r w:rsidR="00D7343A" w:rsidRPr="00C30E38">
        <w:rPr>
          <w:rFonts w:cs="Arial"/>
        </w:rPr>
        <w:t>%) and a</w:t>
      </w:r>
      <w:r w:rsidR="00C30E38" w:rsidRPr="00C30E38">
        <w:rPr>
          <w:rFonts w:cs="Arial"/>
        </w:rPr>
        <w:t xml:space="preserve">n increase </w:t>
      </w:r>
      <w:r w:rsidR="00D7343A" w:rsidRPr="00C30E38">
        <w:rPr>
          <w:rFonts w:cs="Arial"/>
        </w:rPr>
        <w:t>in the Business Rates Collection Rate (0.</w:t>
      </w:r>
      <w:r w:rsidR="00C30E38" w:rsidRPr="00C30E38">
        <w:rPr>
          <w:rFonts w:cs="Arial"/>
        </w:rPr>
        <w:t>59</w:t>
      </w:r>
      <w:r w:rsidR="00D7343A" w:rsidRPr="00C30E38">
        <w:rPr>
          <w:rFonts w:cs="Arial"/>
        </w:rPr>
        <w:t xml:space="preserve">%). </w:t>
      </w:r>
      <w:r w:rsidR="00D7343A" w:rsidRPr="00C30E38">
        <w:t>Sundry debtors’ arrears outstanding shows a</w:t>
      </w:r>
      <w:r w:rsidR="00C30E38" w:rsidRPr="00C30E38">
        <w:t xml:space="preserve"> reduction however </w:t>
      </w:r>
      <w:r w:rsidR="00D7343A" w:rsidRPr="00C30E38">
        <w:t xml:space="preserve">this is due to several large debts being invoiced towards the end of the </w:t>
      </w:r>
      <w:r w:rsidR="00C30E38" w:rsidRPr="00C30E38">
        <w:t xml:space="preserve">previous </w:t>
      </w:r>
      <w:r w:rsidR="00D7343A" w:rsidRPr="00C30E38">
        <w:t xml:space="preserve">financial year for which payment </w:t>
      </w:r>
      <w:r w:rsidR="00C30E38" w:rsidRPr="00C30E38">
        <w:t xml:space="preserve">was received in </w:t>
      </w:r>
      <w:r w:rsidR="00D7343A" w:rsidRPr="00C30E38">
        <w:t>2018/19.</w:t>
      </w:r>
      <w:r w:rsidR="00D7343A" w:rsidRPr="006D6606">
        <w:rPr>
          <w:color w:val="FF0000"/>
        </w:rPr>
        <w:t xml:space="preserve">  </w:t>
      </w:r>
      <w:r w:rsidR="00D7343A" w:rsidRPr="004D34FF">
        <w:t xml:space="preserve">It should be noted that </w:t>
      </w:r>
      <w:r w:rsidR="00D7343A" w:rsidRPr="004D34FF">
        <w:rPr>
          <w:rFonts w:cs="Arial"/>
        </w:rPr>
        <w:t>prime reason</w:t>
      </w:r>
      <w:r w:rsidR="005E67C9">
        <w:rPr>
          <w:rFonts w:cs="Arial"/>
        </w:rPr>
        <w:t>s</w:t>
      </w:r>
      <w:r w:rsidR="00D7343A" w:rsidRPr="004D34FF">
        <w:rPr>
          <w:rFonts w:cs="Arial"/>
        </w:rPr>
        <w:t xml:space="preserve"> for the reduction in the value of Business Rates collected from 201</w:t>
      </w:r>
      <w:r w:rsidR="004D34FF" w:rsidRPr="004D34FF">
        <w:rPr>
          <w:rFonts w:cs="Arial"/>
        </w:rPr>
        <w:t>7</w:t>
      </w:r>
      <w:r w:rsidR="00D7343A" w:rsidRPr="004D34FF">
        <w:rPr>
          <w:rFonts w:cs="Arial"/>
        </w:rPr>
        <w:t>/1</w:t>
      </w:r>
      <w:r w:rsidR="004D34FF" w:rsidRPr="004D34FF">
        <w:rPr>
          <w:rFonts w:cs="Arial"/>
        </w:rPr>
        <w:t>8</w:t>
      </w:r>
      <w:r w:rsidR="00D7343A" w:rsidRPr="004D34FF">
        <w:rPr>
          <w:rFonts w:cs="Arial"/>
        </w:rPr>
        <w:t xml:space="preserve"> to 201</w:t>
      </w:r>
      <w:r w:rsidR="004D34FF" w:rsidRPr="004D34FF">
        <w:rPr>
          <w:rFonts w:cs="Arial"/>
        </w:rPr>
        <w:t>8</w:t>
      </w:r>
      <w:r w:rsidR="00D7343A" w:rsidRPr="004D34FF">
        <w:rPr>
          <w:rFonts w:cs="Arial"/>
        </w:rPr>
        <w:t>/1</w:t>
      </w:r>
      <w:r w:rsidR="004D34FF" w:rsidRPr="004D34FF">
        <w:rPr>
          <w:rFonts w:cs="Arial"/>
        </w:rPr>
        <w:t>9</w:t>
      </w:r>
      <w:r w:rsidR="00D7343A" w:rsidRPr="004D34FF">
        <w:rPr>
          <w:rFonts w:cs="Arial"/>
        </w:rPr>
        <w:t xml:space="preserve"> is the impact of </w:t>
      </w:r>
      <w:r w:rsidR="005E67C9">
        <w:rPr>
          <w:rFonts w:cs="Arial"/>
        </w:rPr>
        <w:t xml:space="preserve">refunds in relation to appeals, reductions in rateable values and the introduction of new reliefs. With regard to the introduction of new business rate reliefs, these will be offset by compensatory payments from central government (s31 grant income). </w:t>
      </w:r>
      <w:r w:rsidR="00D7343A" w:rsidRPr="006D6606">
        <w:rPr>
          <w:rFonts w:cs="Arial"/>
          <w:color w:val="FF0000"/>
        </w:rPr>
        <w:t xml:space="preserve">    </w:t>
      </w:r>
    </w:p>
    <w:p w:rsidR="00107A09" w:rsidRPr="005E67C9" w:rsidRDefault="00107A09" w:rsidP="005E67C9">
      <w:pPr>
        <w:pBdr>
          <w:top w:val="single" w:sz="2" w:space="0" w:color="FFFFFF"/>
          <w:left w:val="single" w:sz="2" w:space="0" w:color="FFFFFF"/>
          <w:bottom w:val="single" w:sz="2" w:space="2" w:color="FFFFFF"/>
          <w:right w:val="single" w:sz="2" w:space="4" w:color="FFFFFF"/>
        </w:pBdr>
        <w:tabs>
          <w:tab w:val="left" w:pos="6237"/>
        </w:tabs>
        <w:ind w:left="360" w:right="142" w:hanging="720"/>
        <w:jc w:val="both"/>
        <w:rPr>
          <w:rFonts w:cs="Arial"/>
        </w:rPr>
      </w:pPr>
    </w:p>
    <w:p w:rsidR="00107A09" w:rsidRPr="006D6606" w:rsidRDefault="00C50CD1" w:rsidP="002F0224">
      <w:pPr>
        <w:ind w:left="709" w:hanging="709"/>
        <w:jc w:val="both"/>
        <w:rPr>
          <w:color w:val="FF0000"/>
        </w:rPr>
      </w:pPr>
      <w:r w:rsidRPr="005E67C9">
        <w:rPr>
          <w:rFonts w:cs="Arial"/>
        </w:rPr>
        <w:lastRenderedPageBreak/>
        <w:t>6.1</w:t>
      </w:r>
      <w:r w:rsidR="00A20DC5">
        <w:rPr>
          <w:rFonts w:cs="Arial"/>
        </w:rPr>
        <w:t>2</w:t>
      </w:r>
      <w:r w:rsidR="00107A09" w:rsidRPr="005E67C9">
        <w:rPr>
          <w:rFonts w:cs="Arial"/>
        </w:rPr>
        <w:tab/>
        <w:t xml:space="preserve">Also set out at Appendix B is a summary position to show the amount of </w:t>
      </w:r>
      <w:r w:rsidR="002F0224">
        <w:rPr>
          <w:rFonts w:cs="Arial"/>
        </w:rPr>
        <w:t xml:space="preserve">Council Tax and Business Rates </w:t>
      </w:r>
      <w:r w:rsidR="00107A09" w:rsidRPr="005E67C9">
        <w:rPr>
          <w:rFonts w:cs="Arial"/>
        </w:rPr>
        <w:t>arrears collected in 201</w:t>
      </w:r>
      <w:r w:rsidR="005E67C9" w:rsidRPr="005E67C9">
        <w:rPr>
          <w:rFonts w:cs="Arial"/>
        </w:rPr>
        <w:t>8</w:t>
      </w:r>
      <w:r w:rsidR="00107A09" w:rsidRPr="005E67C9">
        <w:rPr>
          <w:rFonts w:cs="Arial"/>
        </w:rPr>
        <w:t>/1</w:t>
      </w:r>
      <w:r w:rsidR="005E67C9" w:rsidRPr="005E67C9">
        <w:rPr>
          <w:rFonts w:cs="Arial"/>
        </w:rPr>
        <w:t>9</w:t>
      </w:r>
      <w:r w:rsidR="00107A09" w:rsidRPr="005E67C9">
        <w:rPr>
          <w:rFonts w:cs="Arial"/>
        </w:rPr>
        <w:t xml:space="preserve"> relating to previous year</w:t>
      </w:r>
      <w:r w:rsidR="002F0224">
        <w:rPr>
          <w:rFonts w:cs="Arial"/>
        </w:rPr>
        <w:t>s</w:t>
      </w:r>
      <w:r w:rsidR="00107A09" w:rsidRPr="002F0224">
        <w:rPr>
          <w:rFonts w:cs="Arial"/>
        </w:rPr>
        <w:t>.</w:t>
      </w:r>
      <w:r w:rsidR="002F0224">
        <w:rPr>
          <w:rFonts w:cs="Arial"/>
        </w:rPr>
        <w:t xml:space="preserve"> </w:t>
      </w:r>
      <w:r w:rsidR="00107A09" w:rsidRPr="002F0224">
        <w:rPr>
          <w:rFonts w:cs="Arial"/>
        </w:rPr>
        <w:t>£</w:t>
      </w:r>
      <w:r w:rsidR="002F0224" w:rsidRPr="002F0224">
        <w:rPr>
          <w:rFonts w:cs="Arial"/>
        </w:rPr>
        <w:t>0</w:t>
      </w:r>
      <w:r w:rsidR="00107A09" w:rsidRPr="002F0224">
        <w:rPr>
          <w:rFonts w:cs="Arial"/>
        </w:rPr>
        <w:t>.1</w:t>
      </w:r>
      <w:r w:rsidR="002F0224" w:rsidRPr="002F0224">
        <w:rPr>
          <w:rFonts w:cs="Arial"/>
        </w:rPr>
        <w:t>0</w:t>
      </w:r>
      <w:r w:rsidR="002F0224">
        <w:rPr>
          <w:rFonts w:cs="Arial"/>
        </w:rPr>
        <w:t>1</w:t>
      </w:r>
      <w:r w:rsidR="00107A09" w:rsidRPr="002F0224">
        <w:rPr>
          <w:rFonts w:cs="Arial"/>
        </w:rPr>
        <w:t xml:space="preserve">m was collected which is </w:t>
      </w:r>
      <w:r w:rsidR="002F0224" w:rsidRPr="002F0224">
        <w:rPr>
          <w:rFonts w:cs="Arial"/>
        </w:rPr>
        <w:t>a reduction of £1.</w:t>
      </w:r>
      <w:r w:rsidR="002F0224">
        <w:rPr>
          <w:rFonts w:cs="Arial"/>
        </w:rPr>
        <w:t>1</w:t>
      </w:r>
      <w:r w:rsidR="002F0224" w:rsidRPr="002F0224">
        <w:rPr>
          <w:rFonts w:cs="Arial"/>
        </w:rPr>
        <w:t xml:space="preserve">00m compared to </w:t>
      </w:r>
      <w:r w:rsidR="00107A09" w:rsidRPr="002F0224">
        <w:rPr>
          <w:rFonts w:cs="Arial"/>
        </w:rPr>
        <w:t>201</w:t>
      </w:r>
      <w:r w:rsidR="002F0224" w:rsidRPr="002F0224">
        <w:rPr>
          <w:rFonts w:cs="Arial"/>
        </w:rPr>
        <w:t>7</w:t>
      </w:r>
      <w:r w:rsidR="00107A09" w:rsidRPr="002F0224">
        <w:rPr>
          <w:rFonts w:cs="Arial"/>
        </w:rPr>
        <w:t>/1</w:t>
      </w:r>
      <w:r w:rsidR="002F0224" w:rsidRPr="002F0224">
        <w:rPr>
          <w:rFonts w:cs="Arial"/>
        </w:rPr>
        <w:t>8</w:t>
      </w:r>
      <w:r w:rsidR="00107A09" w:rsidRPr="002F0224">
        <w:rPr>
          <w:rFonts w:cs="Arial"/>
        </w:rPr>
        <w:t xml:space="preserve">.  </w:t>
      </w:r>
      <w:r w:rsidR="002F0224" w:rsidRPr="002F0224">
        <w:rPr>
          <w:rFonts w:cs="Arial"/>
        </w:rPr>
        <w:t xml:space="preserve">The arrears collected figures </w:t>
      </w:r>
      <w:r w:rsidR="002F0224" w:rsidRPr="00122EC9">
        <w:rPr>
          <w:rFonts w:cs="Arial"/>
        </w:rPr>
        <w:t>take account of council tax and business rates that have been refunded following changes to liabilities</w:t>
      </w:r>
      <w:r w:rsidR="002F0224">
        <w:rPr>
          <w:rFonts w:cs="Arial"/>
        </w:rPr>
        <w:t>. With regard to Business Rates, refunds issued were greater than income collected in relation to previous years which resulted in a net reduction of £0.960m.</w:t>
      </w:r>
    </w:p>
    <w:p w:rsidR="00A62202" w:rsidRPr="006D6606" w:rsidRDefault="00A62202" w:rsidP="002E1752">
      <w:pPr>
        <w:pBdr>
          <w:top w:val="single" w:sz="2" w:space="1" w:color="FFFFFF"/>
          <w:left w:val="single" w:sz="2" w:space="0" w:color="FFFFFF"/>
          <w:bottom w:val="single" w:sz="2" w:space="2" w:color="FFFFFF"/>
          <w:right w:val="single" w:sz="2" w:space="4" w:color="FFFFFF"/>
        </w:pBdr>
        <w:ind w:right="141"/>
        <w:jc w:val="both"/>
        <w:rPr>
          <w:color w:val="FF0000"/>
        </w:rPr>
      </w:pPr>
    </w:p>
    <w:p w:rsidR="00D23B41" w:rsidRPr="00A20DC5" w:rsidRDefault="00D23B41" w:rsidP="002E1752">
      <w:pPr>
        <w:pBdr>
          <w:top w:val="single" w:sz="2" w:space="1" w:color="FFFFFF"/>
          <w:left w:val="single" w:sz="2" w:space="0" w:color="FFFFFF"/>
          <w:bottom w:val="single" w:sz="2" w:space="2" w:color="FFFFFF"/>
          <w:right w:val="single" w:sz="2" w:space="4" w:color="FFFFFF"/>
        </w:pBdr>
        <w:tabs>
          <w:tab w:val="left" w:pos="567"/>
        </w:tabs>
        <w:ind w:right="141"/>
        <w:jc w:val="both"/>
        <w:rPr>
          <w:b/>
        </w:rPr>
      </w:pPr>
      <w:r w:rsidRPr="00A20DC5">
        <w:rPr>
          <w:b/>
        </w:rPr>
        <w:t>Business Rates Retention (BRR)</w:t>
      </w:r>
    </w:p>
    <w:p w:rsidR="00D23B41" w:rsidRPr="00A20DC5" w:rsidRDefault="00D23B41" w:rsidP="002E1752">
      <w:pPr>
        <w:pBdr>
          <w:top w:val="single" w:sz="2" w:space="1" w:color="FFFFFF"/>
          <w:left w:val="single" w:sz="2" w:space="0" w:color="FFFFFF"/>
          <w:bottom w:val="single" w:sz="2" w:space="2" w:color="FFFFFF"/>
          <w:right w:val="single" w:sz="2" w:space="4" w:color="FFFFFF"/>
        </w:pBdr>
        <w:tabs>
          <w:tab w:val="left" w:pos="567"/>
        </w:tabs>
        <w:ind w:right="141" w:hanging="720"/>
        <w:jc w:val="both"/>
        <w:rPr>
          <w:b/>
        </w:rPr>
      </w:pPr>
    </w:p>
    <w:p w:rsidR="00D23B41" w:rsidRPr="00A20DC5" w:rsidRDefault="00C50CD1" w:rsidP="002E1752">
      <w:pPr>
        <w:ind w:left="720" w:hanging="720"/>
        <w:contextualSpacing/>
        <w:jc w:val="both"/>
        <w:rPr>
          <w:rFonts w:cs="Arial"/>
          <w:szCs w:val="22"/>
          <w:lang w:val="en-US" w:eastAsia="en-US"/>
        </w:rPr>
      </w:pPr>
      <w:r w:rsidRPr="00A20DC5">
        <w:rPr>
          <w:rFonts w:cs="Arial"/>
          <w:szCs w:val="22"/>
          <w:lang w:val="en-US" w:eastAsia="en-US"/>
        </w:rPr>
        <w:t>6.1</w:t>
      </w:r>
      <w:r w:rsidR="00A20DC5" w:rsidRPr="00A20DC5">
        <w:rPr>
          <w:rFonts w:cs="Arial"/>
          <w:szCs w:val="22"/>
          <w:lang w:val="en-US" w:eastAsia="en-US"/>
        </w:rPr>
        <w:t>3</w:t>
      </w:r>
      <w:r w:rsidR="00A62202" w:rsidRPr="00A20DC5">
        <w:rPr>
          <w:rFonts w:cs="Arial"/>
          <w:szCs w:val="22"/>
          <w:lang w:val="en-US" w:eastAsia="en-US"/>
        </w:rPr>
        <w:tab/>
      </w:r>
      <w:r w:rsidR="00D23B41" w:rsidRPr="00A20DC5">
        <w:rPr>
          <w:rFonts w:cs="Arial"/>
          <w:szCs w:val="22"/>
          <w:lang w:val="en-US" w:eastAsia="en-US"/>
        </w:rPr>
        <w:t xml:space="preserve">The current BRR regime has been in existence since 2013/14.  The rationale </w:t>
      </w:r>
      <w:r w:rsidR="00D47117" w:rsidRPr="00A20DC5">
        <w:rPr>
          <w:rFonts w:cs="Arial"/>
          <w:szCs w:val="22"/>
          <w:lang w:val="en-US" w:eastAsia="en-US"/>
        </w:rPr>
        <w:t>for</w:t>
      </w:r>
      <w:r w:rsidR="00D23B41" w:rsidRPr="00A20DC5">
        <w:rPr>
          <w:rFonts w:cs="Arial"/>
          <w:szCs w:val="22"/>
          <w:lang w:val="en-US" w:eastAsia="en-US"/>
        </w:rPr>
        <w:t xml:space="preserve"> this scheme </w:t>
      </w:r>
      <w:r w:rsidR="00D47117" w:rsidRPr="00A20DC5">
        <w:rPr>
          <w:rFonts w:cs="Arial"/>
          <w:szCs w:val="22"/>
          <w:lang w:val="en-US" w:eastAsia="en-US"/>
        </w:rPr>
        <w:t>is</w:t>
      </w:r>
      <w:r w:rsidR="00D23B41" w:rsidRPr="00A20DC5">
        <w:rPr>
          <w:rFonts w:cs="Arial"/>
          <w:szCs w:val="22"/>
          <w:lang w:val="en-US" w:eastAsia="en-US"/>
        </w:rPr>
        <w:t xml:space="preserve"> that the local retention of Business Rates income </w:t>
      </w:r>
      <w:r w:rsidR="009C1D22" w:rsidRPr="00A20DC5">
        <w:rPr>
          <w:rFonts w:cs="Arial"/>
          <w:szCs w:val="22"/>
          <w:lang w:val="en-US" w:eastAsia="en-US"/>
        </w:rPr>
        <w:t>incentivizes</w:t>
      </w:r>
      <w:r w:rsidR="00D23B41" w:rsidRPr="00A20DC5">
        <w:rPr>
          <w:rFonts w:cs="Arial"/>
          <w:szCs w:val="22"/>
          <w:lang w:val="en-US" w:eastAsia="en-US"/>
        </w:rPr>
        <w:t xml:space="preserve"> Local Authorities to generate additional income by growing the tax base.  The scheme does indeed provide a vehicle to generate additional receipts, however, it also transfers the financial risk associated with maintaining and growing the tax base, and the collection of monies due, from Central Government to Local Government.</w:t>
      </w:r>
    </w:p>
    <w:p w:rsidR="00BF5EBB" w:rsidRPr="00A20DC5" w:rsidRDefault="00BF5EBB" w:rsidP="002E1752">
      <w:pPr>
        <w:spacing w:after="240" w:line="276" w:lineRule="auto"/>
        <w:ind w:left="720" w:hanging="720"/>
        <w:contextualSpacing/>
        <w:jc w:val="both"/>
        <w:rPr>
          <w:rFonts w:cs="Arial"/>
          <w:szCs w:val="22"/>
          <w:lang w:val="en-US" w:eastAsia="en-US"/>
        </w:rPr>
      </w:pPr>
    </w:p>
    <w:p w:rsidR="00911198" w:rsidRPr="00A20DC5" w:rsidRDefault="00C50CD1" w:rsidP="002E1752">
      <w:pPr>
        <w:ind w:left="720" w:hanging="720"/>
        <w:contextualSpacing/>
        <w:jc w:val="both"/>
        <w:rPr>
          <w:rFonts w:cs="Arial"/>
          <w:szCs w:val="22"/>
          <w:lang w:val="en-US" w:eastAsia="en-US"/>
        </w:rPr>
      </w:pPr>
      <w:r w:rsidRPr="00A20DC5">
        <w:rPr>
          <w:rFonts w:cs="Arial"/>
          <w:szCs w:val="22"/>
          <w:lang w:val="en-US" w:eastAsia="en-US"/>
        </w:rPr>
        <w:t>6.1</w:t>
      </w:r>
      <w:r w:rsidR="00A20DC5" w:rsidRPr="00A20DC5">
        <w:rPr>
          <w:rFonts w:cs="Arial"/>
          <w:szCs w:val="22"/>
          <w:lang w:val="en-US" w:eastAsia="en-US"/>
        </w:rPr>
        <w:t>4</w:t>
      </w:r>
      <w:r w:rsidR="00A62202" w:rsidRPr="00A20DC5">
        <w:rPr>
          <w:rFonts w:cs="Arial"/>
          <w:szCs w:val="22"/>
          <w:lang w:val="en-US" w:eastAsia="en-US"/>
        </w:rPr>
        <w:tab/>
      </w:r>
      <w:r w:rsidR="00312FA8" w:rsidRPr="00A20DC5">
        <w:rPr>
          <w:rFonts w:cs="Arial"/>
          <w:szCs w:val="22"/>
          <w:lang w:val="en-US" w:eastAsia="en-US"/>
        </w:rPr>
        <w:t xml:space="preserve">When the new regime was introduced, South Ribble entered </w:t>
      </w:r>
      <w:r w:rsidR="0093680A" w:rsidRPr="00A20DC5">
        <w:rPr>
          <w:rFonts w:cs="Arial"/>
          <w:szCs w:val="22"/>
          <w:lang w:val="en-US" w:eastAsia="en-US"/>
        </w:rPr>
        <w:t>i</w:t>
      </w:r>
      <w:r w:rsidR="00312FA8" w:rsidRPr="00A20DC5">
        <w:rPr>
          <w:rFonts w:cs="Arial"/>
          <w:szCs w:val="22"/>
          <w:lang w:val="en-US" w:eastAsia="en-US"/>
        </w:rPr>
        <w:t xml:space="preserve">nto a pooling arrangement with the wider Lancashire councils.  </w:t>
      </w:r>
      <w:r w:rsidR="00B47981" w:rsidRPr="00A20DC5">
        <w:rPr>
          <w:rFonts w:cs="Arial"/>
          <w:szCs w:val="22"/>
          <w:lang w:val="en-US" w:eastAsia="en-US"/>
        </w:rPr>
        <w:t>Within the Lancashire pooling arrangements, the Council receive</w:t>
      </w:r>
      <w:r w:rsidR="00312FA8" w:rsidRPr="00A20DC5">
        <w:rPr>
          <w:rFonts w:cs="Arial"/>
          <w:szCs w:val="22"/>
          <w:lang w:val="en-US" w:eastAsia="en-US"/>
        </w:rPr>
        <w:t>s</w:t>
      </w:r>
      <w:r w:rsidR="00B47981" w:rsidRPr="00A20DC5">
        <w:rPr>
          <w:rFonts w:cs="Arial"/>
          <w:szCs w:val="22"/>
          <w:lang w:val="en-US" w:eastAsia="en-US"/>
        </w:rPr>
        <w:t xml:space="preserve"> 90% of the Levy funds released from the arrangements (10% are passed to LCC).  Outside of a Pooling arrangement only 50% of the Levy </w:t>
      </w:r>
      <w:r w:rsidR="00312FA8" w:rsidRPr="00A20DC5">
        <w:rPr>
          <w:rFonts w:cs="Arial"/>
          <w:szCs w:val="22"/>
          <w:lang w:val="en-US" w:eastAsia="en-US"/>
        </w:rPr>
        <w:t>would be</w:t>
      </w:r>
      <w:r w:rsidR="00B47981" w:rsidRPr="00A20DC5">
        <w:rPr>
          <w:rFonts w:cs="Arial"/>
          <w:szCs w:val="22"/>
          <w:lang w:val="en-US" w:eastAsia="en-US"/>
        </w:rPr>
        <w:t xml:space="preserve"> retained by the Council. The Levy is based on business rate growth over and above the baseline funding level determined by the Government. In 201</w:t>
      </w:r>
      <w:r w:rsidR="00A20DC5">
        <w:rPr>
          <w:rFonts w:cs="Arial"/>
          <w:szCs w:val="22"/>
          <w:lang w:val="en-US" w:eastAsia="en-US"/>
        </w:rPr>
        <w:t>8</w:t>
      </w:r>
      <w:r w:rsidR="00B47981" w:rsidRPr="00A20DC5">
        <w:rPr>
          <w:rFonts w:cs="Arial"/>
          <w:szCs w:val="22"/>
          <w:lang w:val="en-US" w:eastAsia="en-US"/>
        </w:rPr>
        <w:t>/1</w:t>
      </w:r>
      <w:r w:rsidR="00A20DC5">
        <w:rPr>
          <w:rFonts w:cs="Arial"/>
          <w:szCs w:val="22"/>
          <w:lang w:val="en-US" w:eastAsia="en-US"/>
        </w:rPr>
        <w:t>9</w:t>
      </w:r>
      <w:r w:rsidR="00B47981" w:rsidRPr="00A20DC5">
        <w:rPr>
          <w:rFonts w:cs="Arial"/>
          <w:szCs w:val="22"/>
          <w:lang w:val="en-US" w:eastAsia="en-US"/>
        </w:rPr>
        <w:t xml:space="preserve">, the </w:t>
      </w:r>
      <w:r w:rsidR="00312FA8" w:rsidRPr="00A20DC5">
        <w:rPr>
          <w:rFonts w:cs="Arial"/>
          <w:szCs w:val="22"/>
          <w:lang w:val="en-US" w:eastAsia="en-US"/>
        </w:rPr>
        <w:t xml:space="preserve">additional </w:t>
      </w:r>
      <w:r w:rsidR="00B47981" w:rsidRPr="00A20DC5">
        <w:rPr>
          <w:rFonts w:cs="Arial"/>
          <w:szCs w:val="22"/>
          <w:lang w:val="en-US" w:eastAsia="en-US"/>
        </w:rPr>
        <w:t xml:space="preserve">levy retained by South Ribble due to being in the Lancashire business rate pool was </w:t>
      </w:r>
      <w:r w:rsidR="001E6F6C">
        <w:rPr>
          <w:rFonts w:cs="Arial"/>
          <w:szCs w:val="22"/>
          <w:lang w:val="en-US" w:eastAsia="en-US"/>
        </w:rPr>
        <w:t xml:space="preserve">over </w:t>
      </w:r>
      <w:r w:rsidR="00B47981" w:rsidRPr="001E6F6C">
        <w:rPr>
          <w:rFonts w:cs="Arial"/>
          <w:szCs w:val="22"/>
          <w:lang w:val="en-US" w:eastAsia="en-US"/>
        </w:rPr>
        <w:t>£1.</w:t>
      </w:r>
      <w:r w:rsidR="001E6F6C">
        <w:rPr>
          <w:rFonts w:cs="Arial"/>
          <w:szCs w:val="22"/>
          <w:lang w:val="en-US" w:eastAsia="en-US"/>
        </w:rPr>
        <w:t>0</w:t>
      </w:r>
      <w:r w:rsidR="00B47981" w:rsidRPr="001E6F6C">
        <w:rPr>
          <w:rFonts w:cs="Arial"/>
          <w:szCs w:val="22"/>
          <w:lang w:val="en-US" w:eastAsia="en-US"/>
        </w:rPr>
        <w:t>m</w:t>
      </w:r>
      <w:r w:rsidR="00911198" w:rsidRPr="00A20DC5">
        <w:rPr>
          <w:rFonts w:cs="Arial"/>
          <w:szCs w:val="22"/>
          <w:lang w:val="en-US" w:eastAsia="en-US"/>
        </w:rPr>
        <w:t xml:space="preserve"> and therefore the pooling arrangement continues to be beneficial to the council.  This is reflected in the annual budget.</w:t>
      </w:r>
    </w:p>
    <w:p w:rsidR="00B47981" w:rsidRPr="006D6606" w:rsidRDefault="00B47981" w:rsidP="002E1752">
      <w:pPr>
        <w:ind w:left="720" w:hanging="720"/>
        <w:contextualSpacing/>
        <w:jc w:val="both"/>
        <w:rPr>
          <w:rFonts w:cs="Arial"/>
          <w:color w:val="FF0000"/>
          <w:szCs w:val="22"/>
          <w:lang w:val="en-US" w:eastAsia="en-US"/>
        </w:rPr>
      </w:pPr>
    </w:p>
    <w:p w:rsidR="00D50D60" w:rsidRPr="00A20DC5" w:rsidRDefault="00C50CD1" w:rsidP="002E1752">
      <w:pPr>
        <w:spacing w:after="240" w:line="276" w:lineRule="auto"/>
        <w:ind w:left="720" w:hanging="720"/>
        <w:contextualSpacing/>
        <w:jc w:val="both"/>
        <w:rPr>
          <w:rFonts w:cs="Arial"/>
          <w:szCs w:val="22"/>
          <w:lang w:val="en-US" w:eastAsia="en-US"/>
        </w:rPr>
      </w:pPr>
      <w:r w:rsidRPr="00A20DC5">
        <w:rPr>
          <w:rFonts w:cs="Arial"/>
          <w:szCs w:val="22"/>
          <w:lang w:val="en-US" w:eastAsia="en-US"/>
        </w:rPr>
        <w:t>6.1</w:t>
      </w:r>
      <w:r w:rsidR="00A20DC5" w:rsidRPr="00A20DC5">
        <w:rPr>
          <w:rFonts w:cs="Arial"/>
          <w:szCs w:val="22"/>
          <w:lang w:val="en-US" w:eastAsia="en-US"/>
        </w:rPr>
        <w:t>5</w:t>
      </w:r>
      <w:r w:rsidR="00A62202" w:rsidRPr="00A20DC5">
        <w:rPr>
          <w:rFonts w:cs="Arial"/>
          <w:szCs w:val="22"/>
          <w:lang w:val="en-US" w:eastAsia="en-US"/>
        </w:rPr>
        <w:tab/>
      </w:r>
      <w:r w:rsidR="00BF5EBB" w:rsidRPr="00A20DC5">
        <w:rPr>
          <w:rFonts w:cs="Arial"/>
          <w:szCs w:val="22"/>
          <w:lang w:val="en-US" w:eastAsia="en-US"/>
        </w:rPr>
        <w:t>The total net income f</w:t>
      </w:r>
      <w:r w:rsidR="005B6390" w:rsidRPr="00A20DC5">
        <w:rPr>
          <w:rFonts w:cs="Arial"/>
          <w:szCs w:val="22"/>
          <w:lang w:val="en-US" w:eastAsia="en-US"/>
        </w:rPr>
        <w:t>rom</w:t>
      </w:r>
      <w:r w:rsidR="00BF5EBB" w:rsidRPr="00A20DC5">
        <w:rPr>
          <w:rFonts w:cs="Arial"/>
          <w:szCs w:val="22"/>
          <w:lang w:val="en-US" w:eastAsia="en-US"/>
        </w:rPr>
        <w:t xml:space="preserve"> business rates and s31 grant funding in respect of business rates in 201</w:t>
      </w:r>
      <w:r w:rsidR="00A20DC5" w:rsidRPr="00A20DC5">
        <w:rPr>
          <w:rFonts w:cs="Arial"/>
          <w:szCs w:val="22"/>
          <w:lang w:val="en-US" w:eastAsia="en-US"/>
        </w:rPr>
        <w:t>8</w:t>
      </w:r>
      <w:r w:rsidR="00BF5EBB" w:rsidRPr="00A20DC5">
        <w:rPr>
          <w:rFonts w:cs="Arial"/>
          <w:szCs w:val="22"/>
          <w:lang w:val="en-US" w:eastAsia="en-US"/>
        </w:rPr>
        <w:t>/1</w:t>
      </w:r>
      <w:r w:rsidR="00A20DC5" w:rsidRPr="00A20DC5">
        <w:rPr>
          <w:rFonts w:cs="Arial"/>
          <w:szCs w:val="22"/>
          <w:lang w:val="en-US" w:eastAsia="en-US"/>
        </w:rPr>
        <w:t>9</w:t>
      </w:r>
      <w:r w:rsidR="00BF5EBB" w:rsidRPr="00A20DC5">
        <w:rPr>
          <w:rFonts w:cs="Arial"/>
          <w:szCs w:val="22"/>
          <w:lang w:val="en-US" w:eastAsia="en-US"/>
        </w:rPr>
        <w:t xml:space="preserve"> was £4.</w:t>
      </w:r>
      <w:r w:rsidR="00A20DC5" w:rsidRPr="00A20DC5">
        <w:rPr>
          <w:rFonts w:cs="Arial"/>
          <w:szCs w:val="22"/>
          <w:lang w:val="en-US" w:eastAsia="en-US"/>
        </w:rPr>
        <w:t>8</w:t>
      </w:r>
      <w:r w:rsidR="00BF5EBB" w:rsidRPr="00A20DC5">
        <w:rPr>
          <w:rFonts w:cs="Arial"/>
          <w:szCs w:val="22"/>
          <w:lang w:val="en-US" w:eastAsia="en-US"/>
        </w:rPr>
        <w:t xml:space="preserve">m. The details are set out in Table </w:t>
      </w:r>
      <w:r w:rsidR="00A20DC5" w:rsidRPr="00A20DC5">
        <w:rPr>
          <w:rFonts w:cs="Arial"/>
          <w:szCs w:val="22"/>
          <w:lang w:val="en-US" w:eastAsia="en-US"/>
        </w:rPr>
        <w:t>4</w:t>
      </w:r>
      <w:r w:rsidR="00BF5EBB" w:rsidRPr="00A20DC5">
        <w:rPr>
          <w:rFonts w:cs="Arial"/>
          <w:szCs w:val="22"/>
          <w:lang w:val="en-US" w:eastAsia="en-US"/>
        </w:rPr>
        <w:t xml:space="preserve"> below</w:t>
      </w:r>
      <w:r w:rsidR="00A62202" w:rsidRPr="00A20DC5">
        <w:rPr>
          <w:rFonts w:cs="Arial"/>
          <w:szCs w:val="22"/>
          <w:lang w:val="en-US" w:eastAsia="en-US"/>
        </w:rPr>
        <w:t>:</w:t>
      </w:r>
    </w:p>
    <w:p w:rsidR="00D7343A" w:rsidRPr="00A20DC5" w:rsidRDefault="00D7343A" w:rsidP="00054E12">
      <w:pPr>
        <w:spacing w:after="240" w:line="276" w:lineRule="auto"/>
        <w:contextualSpacing/>
        <w:jc w:val="both"/>
        <w:rPr>
          <w:rFonts w:cs="Arial"/>
          <w:szCs w:val="22"/>
          <w:lang w:val="en-US" w:eastAsia="en-US"/>
        </w:rPr>
      </w:pPr>
    </w:p>
    <w:p w:rsidR="00BF5EBB" w:rsidRDefault="00BF5EBB" w:rsidP="00A20DC5">
      <w:pPr>
        <w:spacing w:after="240" w:line="276" w:lineRule="auto"/>
        <w:ind w:left="360"/>
        <w:contextualSpacing/>
        <w:jc w:val="center"/>
        <w:rPr>
          <w:b/>
          <w:szCs w:val="22"/>
          <w:u w:val="single"/>
        </w:rPr>
      </w:pPr>
      <w:r w:rsidRPr="00A20DC5">
        <w:rPr>
          <w:rFonts w:cs="Arial"/>
          <w:b/>
          <w:szCs w:val="22"/>
          <w:u w:val="single"/>
        </w:rPr>
        <w:t xml:space="preserve">Table </w:t>
      </w:r>
      <w:r w:rsidR="00A20DC5" w:rsidRPr="00A20DC5">
        <w:rPr>
          <w:rFonts w:cs="Arial"/>
          <w:b/>
          <w:szCs w:val="22"/>
          <w:u w:val="single"/>
        </w:rPr>
        <w:t>4</w:t>
      </w:r>
      <w:r w:rsidRPr="00A20DC5">
        <w:rPr>
          <w:rFonts w:cs="Arial"/>
          <w:b/>
          <w:szCs w:val="22"/>
          <w:u w:val="single"/>
        </w:rPr>
        <w:t xml:space="preserve">: </w:t>
      </w:r>
      <w:r w:rsidRPr="00A20DC5">
        <w:rPr>
          <w:b/>
          <w:szCs w:val="22"/>
          <w:u w:val="single"/>
        </w:rPr>
        <w:t>Summary of Business Rates Retention 201</w:t>
      </w:r>
      <w:r w:rsidR="00A20DC5" w:rsidRPr="00A20DC5">
        <w:rPr>
          <w:b/>
          <w:szCs w:val="22"/>
          <w:u w:val="single"/>
        </w:rPr>
        <w:t>8</w:t>
      </w:r>
      <w:r w:rsidRPr="00A20DC5">
        <w:rPr>
          <w:b/>
          <w:szCs w:val="22"/>
          <w:u w:val="single"/>
        </w:rPr>
        <w:t>/1</w:t>
      </w:r>
      <w:r w:rsidR="00A20DC5" w:rsidRPr="00A20DC5">
        <w:rPr>
          <w:b/>
          <w:szCs w:val="22"/>
          <w:u w:val="single"/>
        </w:rPr>
        <w:t>9</w:t>
      </w:r>
    </w:p>
    <w:p w:rsidR="00A20DC5" w:rsidRPr="00A20DC5" w:rsidRDefault="00A20DC5" w:rsidP="00A20DC5">
      <w:pPr>
        <w:spacing w:after="240" w:line="276" w:lineRule="auto"/>
        <w:ind w:left="360"/>
        <w:contextualSpacing/>
        <w:jc w:val="center"/>
      </w:pPr>
    </w:p>
    <w:tbl>
      <w:tblPr>
        <w:tblStyle w:val="TableGrid"/>
        <w:tblW w:w="0" w:type="auto"/>
        <w:jc w:val="center"/>
        <w:tblLook w:val="04A0" w:firstRow="1" w:lastRow="0" w:firstColumn="1" w:lastColumn="0" w:noHBand="0" w:noVBand="1"/>
      </w:tblPr>
      <w:tblGrid>
        <w:gridCol w:w="5289"/>
        <w:gridCol w:w="1036"/>
        <w:gridCol w:w="1061"/>
        <w:gridCol w:w="1134"/>
      </w:tblGrid>
      <w:tr w:rsidR="00A20DC5" w:rsidRPr="00A20DC5" w:rsidTr="002E1752">
        <w:trPr>
          <w:jc w:val="center"/>
        </w:trPr>
        <w:tc>
          <w:tcPr>
            <w:tcW w:w="5289" w:type="dxa"/>
          </w:tcPr>
          <w:p w:rsidR="00911198" w:rsidRPr="00A20DC5" w:rsidRDefault="00911198" w:rsidP="00911198">
            <w:pPr>
              <w:spacing w:after="240"/>
              <w:jc w:val="both"/>
              <w:rPr>
                <w:b/>
              </w:rPr>
            </w:pPr>
            <w:r w:rsidRPr="00A20DC5">
              <w:rPr>
                <w:b/>
              </w:rPr>
              <w:t xml:space="preserve">BRR Budget </w:t>
            </w:r>
          </w:p>
        </w:tc>
        <w:tc>
          <w:tcPr>
            <w:tcW w:w="1036" w:type="dxa"/>
            <w:tcBorders>
              <w:bottom w:val="single" w:sz="4" w:space="0" w:color="auto"/>
            </w:tcBorders>
          </w:tcPr>
          <w:p w:rsidR="00911198" w:rsidRPr="00A20DC5" w:rsidRDefault="00911198" w:rsidP="00911198">
            <w:pPr>
              <w:spacing w:after="240"/>
              <w:jc w:val="center"/>
              <w:rPr>
                <w:b/>
              </w:rPr>
            </w:pPr>
            <w:r w:rsidRPr="00A20DC5">
              <w:rPr>
                <w:b/>
              </w:rPr>
              <w:t>Budget</w:t>
            </w:r>
          </w:p>
          <w:p w:rsidR="00911198" w:rsidRPr="00A20DC5" w:rsidRDefault="00911198" w:rsidP="00911198">
            <w:pPr>
              <w:spacing w:after="240"/>
              <w:jc w:val="center"/>
              <w:rPr>
                <w:b/>
              </w:rPr>
            </w:pPr>
            <w:r w:rsidRPr="00A20DC5">
              <w:rPr>
                <w:b/>
              </w:rPr>
              <w:t>£000</w:t>
            </w:r>
          </w:p>
        </w:tc>
        <w:tc>
          <w:tcPr>
            <w:tcW w:w="1061" w:type="dxa"/>
          </w:tcPr>
          <w:p w:rsidR="00911198" w:rsidRPr="00A20DC5" w:rsidRDefault="00911198" w:rsidP="00911198">
            <w:pPr>
              <w:spacing w:after="240"/>
              <w:jc w:val="center"/>
              <w:rPr>
                <w:b/>
              </w:rPr>
            </w:pPr>
            <w:r w:rsidRPr="00A20DC5">
              <w:rPr>
                <w:b/>
              </w:rPr>
              <w:t>Outturn</w:t>
            </w:r>
          </w:p>
          <w:p w:rsidR="00911198" w:rsidRPr="00A20DC5" w:rsidRDefault="00911198" w:rsidP="00911198">
            <w:pPr>
              <w:spacing w:after="240"/>
              <w:jc w:val="center"/>
              <w:rPr>
                <w:b/>
              </w:rPr>
            </w:pPr>
            <w:r w:rsidRPr="00A20DC5">
              <w:rPr>
                <w:b/>
              </w:rPr>
              <w:t>£000</w:t>
            </w:r>
          </w:p>
        </w:tc>
        <w:tc>
          <w:tcPr>
            <w:tcW w:w="1134" w:type="dxa"/>
            <w:tcBorders>
              <w:bottom w:val="single" w:sz="4" w:space="0" w:color="auto"/>
            </w:tcBorders>
          </w:tcPr>
          <w:p w:rsidR="00911198" w:rsidRPr="00A20DC5" w:rsidRDefault="00911198" w:rsidP="00911198">
            <w:pPr>
              <w:spacing w:after="240"/>
              <w:jc w:val="center"/>
              <w:rPr>
                <w:b/>
              </w:rPr>
            </w:pPr>
            <w:r w:rsidRPr="00A20DC5">
              <w:rPr>
                <w:b/>
              </w:rPr>
              <w:t>Variance</w:t>
            </w:r>
          </w:p>
          <w:p w:rsidR="00911198" w:rsidRPr="00A20DC5" w:rsidRDefault="00911198" w:rsidP="00911198">
            <w:pPr>
              <w:spacing w:after="240"/>
              <w:jc w:val="center"/>
              <w:rPr>
                <w:b/>
              </w:rPr>
            </w:pPr>
            <w:r w:rsidRPr="00A20DC5">
              <w:rPr>
                <w:b/>
              </w:rPr>
              <w:t>£000</w:t>
            </w:r>
          </w:p>
        </w:tc>
      </w:tr>
      <w:tr w:rsidR="00A20DC5" w:rsidRPr="00A20DC5" w:rsidTr="002E1752">
        <w:trPr>
          <w:jc w:val="center"/>
        </w:trPr>
        <w:tc>
          <w:tcPr>
            <w:tcW w:w="5289" w:type="dxa"/>
            <w:vAlign w:val="bottom"/>
          </w:tcPr>
          <w:p w:rsidR="00911198" w:rsidRPr="00A20DC5" w:rsidRDefault="00911198" w:rsidP="00911198">
            <w:pPr>
              <w:spacing w:after="240"/>
            </w:pPr>
            <w:r w:rsidRPr="00A20DC5">
              <w:t>South Ribble Share of business rates income</w:t>
            </w:r>
          </w:p>
        </w:tc>
        <w:tc>
          <w:tcPr>
            <w:tcW w:w="1036" w:type="dxa"/>
            <w:shd w:val="clear" w:color="auto" w:fill="auto"/>
          </w:tcPr>
          <w:p w:rsidR="00911198" w:rsidRPr="00A20DC5" w:rsidRDefault="00911198" w:rsidP="00E22F49">
            <w:pPr>
              <w:spacing w:after="240"/>
              <w:jc w:val="right"/>
            </w:pPr>
            <w:r w:rsidRPr="00A20DC5">
              <w:t>(13,</w:t>
            </w:r>
            <w:r w:rsidR="00E22F49">
              <w:t>586</w:t>
            </w:r>
            <w:r w:rsidRPr="00A20DC5">
              <w:t>)</w:t>
            </w:r>
          </w:p>
        </w:tc>
        <w:tc>
          <w:tcPr>
            <w:tcW w:w="1061" w:type="dxa"/>
            <w:vAlign w:val="center"/>
          </w:tcPr>
          <w:p w:rsidR="00911198" w:rsidRPr="00A20DC5" w:rsidRDefault="00911198" w:rsidP="00A20DC5">
            <w:pPr>
              <w:spacing w:after="240"/>
              <w:jc w:val="right"/>
            </w:pPr>
            <w:r w:rsidRPr="00A20DC5">
              <w:t>(13,</w:t>
            </w:r>
            <w:r w:rsidR="00A20DC5">
              <w:t>586</w:t>
            </w:r>
            <w:r w:rsidRPr="00A20DC5">
              <w:t>)</w:t>
            </w:r>
          </w:p>
        </w:tc>
        <w:tc>
          <w:tcPr>
            <w:tcW w:w="1134" w:type="dxa"/>
          </w:tcPr>
          <w:p w:rsidR="00911198" w:rsidRPr="00A20DC5" w:rsidRDefault="00911198" w:rsidP="002E1752">
            <w:pPr>
              <w:spacing w:after="240"/>
              <w:jc w:val="right"/>
            </w:pPr>
          </w:p>
        </w:tc>
      </w:tr>
      <w:tr w:rsidR="00A20DC5" w:rsidRPr="00A20DC5" w:rsidTr="002E1752">
        <w:trPr>
          <w:jc w:val="center"/>
        </w:trPr>
        <w:tc>
          <w:tcPr>
            <w:tcW w:w="5289" w:type="dxa"/>
            <w:vAlign w:val="bottom"/>
          </w:tcPr>
          <w:p w:rsidR="00A20DC5" w:rsidRPr="00A20DC5" w:rsidRDefault="00A20DC5" w:rsidP="00911198">
            <w:pPr>
              <w:spacing w:after="240"/>
            </w:pPr>
            <w:r>
              <w:t xml:space="preserve">Renewable Energy </w:t>
            </w:r>
          </w:p>
        </w:tc>
        <w:tc>
          <w:tcPr>
            <w:tcW w:w="1036" w:type="dxa"/>
            <w:shd w:val="clear" w:color="auto" w:fill="auto"/>
          </w:tcPr>
          <w:p w:rsidR="00A20DC5" w:rsidRPr="00A20DC5" w:rsidRDefault="00E22F49" w:rsidP="00E22F49">
            <w:pPr>
              <w:spacing w:after="240"/>
              <w:jc w:val="right"/>
            </w:pPr>
            <w:r>
              <w:t>(15)</w:t>
            </w:r>
          </w:p>
        </w:tc>
        <w:tc>
          <w:tcPr>
            <w:tcW w:w="1061" w:type="dxa"/>
            <w:vAlign w:val="center"/>
          </w:tcPr>
          <w:p w:rsidR="00A20DC5" w:rsidRPr="00A20DC5" w:rsidRDefault="00A20DC5" w:rsidP="00996717">
            <w:pPr>
              <w:spacing w:after="240"/>
              <w:jc w:val="right"/>
            </w:pPr>
            <w:r>
              <w:t>(</w:t>
            </w:r>
            <w:r w:rsidR="00996717">
              <w:t>25</w:t>
            </w:r>
            <w:r>
              <w:t>)</w:t>
            </w:r>
          </w:p>
        </w:tc>
        <w:tc>
          <w:tcPr>
            <w:tcW w:w="1134" w:type="dxa"/>
          </w:tcPr>
          <w:p w:rsidR="00A20DC5" w:rsidRPr="00A20DC5" w:rsidRDefault="00A20DC5" w:rsidP="002E1752">
            <w:pPr>
              <w:spacing w:after="240"/>
              <w:jc w:val="right"/>
            </w:pPr>
          </w:p>
        </w:tc>
      </w:tr>
      <w:tr w:rsidR="00A20DC5" w:rsidRPr="00A20DC5" w:rsidTr="002E1752">
        <w:trPr>
          <w:jc w:val="center"/>
        </w:trPr>
        <w:tc>
          <w:tcPr>
            <w:tcW w:w="5289" w:type="dxa"/>
            <w:vAlign w:val="bottom"/>
          </w:tcPr>
          <w:p w:rsidR="00911198" w:rsidRPr="00A20DC5" w:rsidRDefault="00911198" w:rsidP="00911198">
            <w:pPr>
              <w:spacing w:after="240"/>
            </w:pPr>
            <w:r w:rsidRPr="00A20DC5">
              <w:t>Less Tariff paid to Central Government</w:t>
            </w:r>
          </w:p>
        </w:tc>
        <w:tc>
          <w:tcPr>
            <w:tcW w:w="1036" w:type="dxa"/>
            <w:shd w:val="clear" w:color="auto" w:fill="auto"/>
          </w:tcPr>
          <w:p w:rsidR="00911198" w:rsidRPr="00A20DC5" w:rsidRDefault="00911198" w:rsidP="00A20DC5">
            <w:pPr>
              <w:spacing w:after="240"/>
              <w:jc w:val="right"/>
            </w:pPr>
            <w:r w:rsidRPr="00A20DC5">
              <w:t>9,</w:t>
            </w:r>
            <w:r w:rsidR="00A20DC5">
              <w:t>934</w:t>
            </w:r>
          </w:p>
        </w:tc>
        <w:tc>
          <w:tcPr>
            <w:tcW w:w="1061" w:type="dxa"/>
            <w:vAlign w:val="center"/>
          </w:tcPr>
          <w:p w:rsidR="00911198" w:rsidRPr="00A20DC5" w:rsidRDefault="00911198" w:rsidP="00A20DC5">
            <w:pPr>
              <w:spacing w:after="240"/>
              <w:jc w:val="right"/>
            </w:pPr>
            <w:r w:rsidRPr="00A20DC5">
              <w:t xml:space="preserve">    9,</w:t>
            </w:r>
            <w:r w:rsidR="00A20DC5">
              <w:t>934</w:t>
            </w:r>
          </w:p>
        </w:tc>
        <w:tc>
          <w:tcPr>
            <w:tcW w:w="1134" w:type="dxa"/>
          </w:tcPr>
          <w:p w:rsidR="00911198" w:rsidRPr="00A20DC5" w:rsidRDefault="00911198" w:rsidP="002E1752">
            <w:pPr>
              <w:spacing w:after="240"/>
              <w:jc w:val="right"/>
            </w:pPr>
          </w:p>
        </w:tc>
      </w:tr>
      <w:tr w:rsidR="00A20DC5" w:rsidRPr="00A20DC5" w:rsidTr="002E1752">
        <w:trPr>
          <w:jc w:val="center"/>
        </w:trPr>
        <w:tc>
          <w:tcPr>
            <w:tcW w:w="5289" w:type="dxa"/>
            <w:vAlign w:val="bottom"/>
          </w:tcPr>
          <w:p w:rsidR="00911198" w:rsidRPr="00A20DC5" w:rsidRDefault="00911198" w:rsidP="00A20DC5">
            <w:pPr>
              <w:spacing w:after="240"/>
            </w:pPr>
            <w:r w:rsidRPr="00A20DC5">
              <w:t xml:space="preserve">Plus share of Collection Fund </w:t>
            </w:r>
            <w:r w:rsidR="00A20DC5">
              <w:t>Deficit</w:t>
            </w:r>
            <w:r w:rsidRPr="00A20DC5">
              <w:t xml:space="preserve"> 201</w:t>
            </w:r>
            <w:r w:rsidR="00A20DC5">
              <w:t>7</w:t>
            </w:r>
            <w:r w:rsidRPr="00A20DC5">
              <w:t>/1</w:t>
            </w:r>
            <w:r w:rsidR="00A20DC5">
              <w:t>8</w:t>
            </w:r>
          </w:p>
        </w:tc>
        <w:tc>
          <w:tcPr>
            <w:tcW w:w="1036" w:type="dxa"/>
            <w:shd w:val="clear" w:color="auto" w:fill="auto"/>
          </w:tcPr>
          <w:p w:rsidR="00911198" w:rsidRPr="00A20DC5" w:rsidRDefault="00A20DC5" w:rsidP="00A20DC5">
            <w:pPr>
              <w:spacing w:after="240"/>
              <w:jc w:val="right"/>
            </w:pPr>
            <w:r>
              <w:t>54</w:t>
            </w:r>
          </w:p>
        </w:tc>
        <w:tc>
          <w:tcPr>
            <w:tcW w:w="1061" w:type="dxa"/>
            <w:vAlign w:val="center"/>
          </w:tcPr>
          <w:p w:rsidR="00911198" w:rsidRPr="00A20DC5" w:rsidRDefault="00D22A9A" w:rsidP="00D22A9A">
            <w:pPr>
              <w:spacing w:after="240"/>
              <w:jc w:val="right"/>
            </w:pPr>
            <w:r>
              <w:t>54</w:t>
            </w:r>
          </w:p>
        </w:tc>
        <w:tc>
          <w:tcPr>
            <w:tcW w:w="1134" w:type="dxa"/>
          </w:tcPr>
          <w:p w:rsidR="00911198" w:rsidRPr="00A20DC5" w:rsidRDefault="00911198">
            <w:pPr>
              <w:spacing w:after="240"/>
              <w:jc w:val="right"/>
            </w:pPr>
          </w:p>
        </w:tc>
      </w:tr>
      <w:tr w:rsidR="00A20DC5" w:rsidRPr="00A20DC5" w:rsidTr="002E1752">
        <w:trPr>
          <w:jc w:val="center"/>
        </w:trPr>
        <w:tc>
          <w:tcPr>
            <w:tcW w:w="5289" w:type="dxa"/>
            <w:tcBorders>
              <w:bottom w:val="single" w:sz="4" w:space="0" w:color="auto"/>
            </w:tcBorders>
            <w:vAlign w:val="bottom"/>
          </w:tcPr>
          <w:p w:rsidR="00911198" w:rsidRPr="00A20DC5" w:rsidRDefault="00911198" w:rsidP="00911198">
            <w:pPr>
              <w:spacing w:after="240"/>
              <w:jc w:val="both"/>
            </w:pPr>
            <w:r w:rsidRPr="00A20DC5">
              <w:t>Less Levy Paid to Lancashire Business Rates Pool</w:t>
            </w:r>
          </w:p>
        </w:tc>
        <w:tc>
          <w:tcPr>
            <w:tcW w:w="1036" w:type="dxa"/>
            <w:tcBorders>
              <w:bottom w:val="single" w:sz="4" w:space="0" w:color="auto"/>
            </w:tcBorders>
            <w:shd w:val="clear" w:color="auto" w:fill="auto"/>
          </w:tcPr>
          <w:p w:rsidR="00911198" w:rsidRPr="00A20DC5" w:rsidRDefault="00A20DC5" w:rsidP="00A20DC5">
            <w:pPr>
              <w:spacing w:after="240"/>
              <w:jc w:val="right"/>
            </w:pPr>
            <w:r>
              <w:t>105</w:t>
            </w:r>
          </w:p>
        </w:tc>
        <w:tc>
          <w:tcPr>
            <w:tcW w:w="1061" w:type="dxa"/>
            <w:tcBorders>
              <w:bottom w:val="single" w:sz="4" w:space="0" w:color="auto"/>
            </w:tcBorders>
            <w:vAlign w:val="center"/>
          </w:tcPr>
          <w:p w:rsidR="00911198" w:rsidRPr="00A20DC5" w:rsidRDefault="00911198" w:rsidP="00A20DC5">
            <w:pPr>
              <w:spacing w:after="240"/>
              <w:jc w:val="right"/>
            </w:pPr>
            <w:r w:rsidRPr="00A20DC5">
              <w:t xml:space="preserve">       1</w:t>
            </w:r>
            <w:r w:rsidR="00A20DC5">
              <w:t>19</w:t>
            </w:r>
          </w:p>
        </w:tc>
        <w:tc>
          <w:tcPr>
            <w:tcW w:w="1134" w:type="dxa"/>
            <w:tcBorders>
              <w:bottom w:val="single" w:sz="4" w:space="0" w:color="auto"/>
            </w:tcBorders>
          </w:tcPr>
          <w:p w:rsidR="00911198" w:rsidRPr="00A20DC5" w:rsidRDefault="00911198">
            <w:pPr>
              <w:spacing w:after="240"/>
              <w:jc w:val="right"/>
            </w:pPr>
          </w:p>
        </w:tc>
      </w:tr>
      <w:tr w:rsidR="00A20DC5" w:rsidRPr="00A20DC5" w:rsidTr="002E1752">
        <w:trPr>
          <w:jc w:val="center"/>
        </w:trPr>
        <w:tc>
          <w:tcPr>
            <w:tcW w:w="5289" w:type="dxa"/>
            <w:tcBorders>
              <w:bottom w:val="single" w:sz="4" w:space="0" w:color="auto"/>
            </w:tcBorders>
            <w:shd w:val="clear" w:color="auto" w:fill="auto"/>
            <w:vAlign w:val="bottom"/>
          </w:tcPr>
          <w:p w:rsidR="00911198" w:rsidRPr="00A20DC5" w:rsidRDefault="00911198" w:rsidP="00911198">
            <w:pPr>
              <w:spacing w:after="240"/>
              <w:jc w:val="both"/>
              <w:rPr>
                <w:b/>
              </w:rPr>
            </w:pPr>
            <w:r w:rsidRPr="00A20DC5">
              <w:rPr>
                <w:b/>
              </w:rPr>
              <w:lastRenderedPageBreak/>
              <w:t>Retained Business Rates Income</w:t>
            </w:r>
          </w:p>
        </w:tc>
        <w:tc>
          <w:tcPr>
            <w:tcW w:w="1036" w:type="dxa"/>
            <w:tcBorders>
              <w:bottom w:val="single" w:sz="4" w:space="0" w:color="auto"/>
            </w:tcBorders>
            <w:shd w:val="clear" w:color="auto" w:fill="auto"/>
          </w:tcPr>
          <w:p w:rsidR="00911198" w:rsidRPr="00A20DC5" w:rsidRDefault="00911198" w:rsidP="00A20DC5">
            <w:pPr>
              <w:spacing w:after="240"/>
              <w:jc w:val="right"/>
              <w:rPr>
                <w:b/>
              </w:rPr>
            </w:pPr>
            <w:r w:rsidRPr="00A20DC5">
              <w:rPr>
                <w:b/>
              </w:rPr>
              <w:t>(3,5</w:t>
            </w:r>
            <w:r w:rsidR="00A20DC5">
              <w:rPr>
                <w:b/>
              </w:rPr>
              <w:t>08</w:t>
            </w:r>
            <w:r w:rsidRPr="00A20DC5">
              <w:rPr>
                <w:b/>
              </w:rPr>
              <w:t>)</w:t>
            </w:r>
          </w:p>
        </w:tc>
        <w:tc>
          <w:tcPr>
            <w:tcW w:w="1061" w:type="dxa"/>
            <w:tcBorders>
              <w:bottom w:val="single" w:sz="4" w:space="0" w:color="auto"/>
            </w:tcBorders>
            <w:shd w:val="clear" w:color="auto" w:fill="auto"/>
            <w:vAlign w:val="center"/>
          </w:tcPr>
          <w:p w:rsidR="00911198" w:rsidRPr="00A20DC5" w:rsidRDefault="00911198" w:rsidP="00A20DC5">
            <w:pPr>
              <w:spacing w:after="240"/>
              <w:jc w:val="right"/>
              <w:rPr>
                <w:b/>
              </w:rPr>
            </w:pPr>
            <w:r w:rsidRPr="00A20DC5">
              <w:rPr>
                <w:b/>
              </w:rPr>
              <w:t>(3,5</w:t>
            </w:r>
            <w:r w:rsidR="00A20DC5">
              <w:rPr>
                <w:b/>
              </w:rPr>
              <w:t>04</w:t>
            </w:r>
            <w:r w:rsidRPr="00A20DC5">
              <w:rPr>
                <w:b/>
              </w:rPr>
              <w:t>)</w:t>
            </w:r>
          </w:p>
        </w:tc>
        <w:tc>
          <w:tcPr>
            <w:tcW w:w="1134" w:type="dxa"/>
            <w:tcBorders>
              <w:bottom w:val="single" w:sz="4" w:space="0" w:color="auto"/>
            </w:tcBorders>
          </w:tcPr>
          <w:p w:rsidR="00911198" w:rsidRPr="00A20DC5" w:rsidRDefault="00A20DC5" w:rsidP="00A20DC5">
            <w:pPr>
              <w:spacing w:after="240"/>
              <w:jc w:val="right"/>
              <w:rPr>
                <w:b/>
              </w:rPr>
            </w:pPr>
            <w:r>
              <w:rPr>
                <w:b/>
              </w:rPr>
              <w:t>4</w:t>
            </w:r>
          </w:p>
        </w:tc>
      </w:tr>
      <w:tr w:rsidR="00A20DC5" w:rsidRPr="00A20DC5" w:rsidTr="002E1752">
        <w:trPr>
          <w:trHeight w:val="541"/>
          <w:jc w:val="center"/>
        </w:trPr>
        <w:tc>
          <w:tcPr>
            <w:tcW w:w="5289" w:type="dxa"/>
            <w:shd w:val="clear" w:color="auto" w:fill="auto"/>
          </w:tcPr>
          <w:p w:rsidR="00911198" w:rsidRPr="00A20DC5" w:rsidRDefault="00911198" w:rsidP="00911198">
            <w:pPr>
              <w:jc w:val="both"/>
              <w:rPr>
                <w:b/>
              </w:rPr>
            </w:pPr>
            <w:r w:rsidRPr="00A20DC5">
              <w:rPr>
                <w:rFonts w:cs="Arial"/>
                <w:b/>
                <w:szCs w:val="22"/>
              </w:rPr>
              <w:t>Plus: S31 Grant re NNDR Reliefs</w:t>
            </w:r>
          </w:p>
        </w:tc>
        <w:tc>
          <w:tcPr>
            <w:tcW w:w="1036" w:type="dxa"/>
            <w:shd w:val="clear" w:color="auto" w:fill="auto"/>
          </w:tcPr>
          <w:p w:rsidR="00911198" w:rsidRPr="00A20DC5" w:rsidRDefault="00911198" w:rsidP="00A20DC5">
            <w:pPr>
              <w:spacing w:after="240"/>
              <w:jc w:val="right"/>
              <w:rPr>
                <w:b/>
              </w:rPr>
            </w:pPr>
            <w:r w:rsidRPr="00A20DC5">
              <w:rPr>
                <w:b/>
              </w:rPr>
              <w:t>(</w:t>
            </w:r>
            <w:r w:rsidR="00A20DC5">
              <w:rPr>
                <w:b/>
              </w:rPr>
              <w:t>1,099</w:t>
            </w:r>
            <w:r w:rsidRPr="00A20DC5">
              <w:rPr>
                <w:b/>
              </w:rPr>
              <w:t>)</w:t>
            </w:r>
          </w:p>
        </w:tc>
        <w:tc>
          <w:tcPr>
            <w:tcW w:w="1061" w:type="dxa"/>
            <w:shd w:val="clear" w:color="auto" w:fill="auto"/>
            <w:vAlign w:val="center"/>
          </w:tcPr>
          <w:p w:rsidR="00911198" w:rsidRPr="00A20DC5" w:rsidRDefault="00911198" w:rsidP="00D22A9A">
            <w:pPr>
              <w:spacing w:after="240"/>
              <w:jc w:val="right"/>
              <w:rPr>
                <w:b/>
              </w:rPr>
            </w:pPr>
            <w:r w:rsidRPr="00D22A9A">
              <w:rPr>
                <w:b/>
              </w:rPr>
              <w:t>(1,</w:t>
            </w:r>
            <w:r w:rsidR="00A20DC5" w:rsidRPr="00D22A9A">
              <w:rPr>
                <w:b/>
              </w:rPr>
              <w:t>29</w:t>
            </w:r>
            <w:r w:rsidR="00D22A9A" w:rsidRPr="00D22A9A">
              <w:rPr>
                <w:b/>
              </w:rPr>
              <w:t>1</w:t>
            </w:r>
            <w:r w:rsidRPr="00D22A9A">
              <w:rPr>
                <w:b/>
              </w:rPr>
              <w:t>)</w:t>
            </w:r>
          </w:p>
        </w:tc>
        <w:tc>
          <w:tcPr>
            <w:tcW w:w="1134" w:type="dxa"/>
          </w:tcPr>
          <w:p w:rsidR="00911198" w:rsidRPr="00A20DC5" w:rsidRDefault="00911198" w:rsidP="00D22A9A">
            <w:pPr>
              <w:spacing w:after="240"/>
              <w:jc w:val="right"/>
              <w:rPr>
                <w:b/>
              </w:rPr>
            </w:pPr>
            <w:r w:rsidRPr="00A20DC5">
              <w:rPr>
                <w:b/>
              </w:rPr>
              <w:t xml:space="preserve"> (</w:t>
            </w:r>
            <w:r w:rsidR="00A20DC5">
              <w:rPr>
                <w:b/>
              </w:rPr>
              <w:t>19</w:t>
            </w:r>
            <w:r w:rsidR="00D22A9A">
              <w:rPr>
                <w:b/>
              </w:rPr>
              <w:t>2</w:t>
            </w:r>
            <w:r w:rsidRPr="00A20DC5">
              <w:rPr>
                <w:b/>
              </w:rPr>
              <w:t>)</w:t>
            </w:r>
          </w:p>
        </w:tc>
      </w:tr>
      <w:tr w:rsidR="00A20DC5" w:rsidRPr="00A20DC5" w:rsidTr="002E1752">
        <w:trPr>
          <w:jc w:val="center"/>
        </w:trPr>
        <w:tc>
          <w:tcPr>
            <w:tcW w:w="5289" w:type="dxa"/>
            <w:shd w:val="clear" w:color="auto" w:fill="auto"/>
            <w:vAlign w:val="bottom"/>
          </w:tcPr>
          <w:p w:rsidR="00911198" w:rsidRPr="00A20DC5" w:rsidRDefault="00911198" w:rsidP="00A20DC5">
            <w:pPr>
              <w:spacing w:after="240"/>
              <w:jc w:val="both"/>
              <w:rPr>
                <w:b/>
              </w:rPr>
            </w:pPr>
            <w:r w:rsidRPr="00A20DC5">
              <w:rPr>
                <w:b/>
              </w:rPr>
              <w:t>Total income re Business Rates in 201</w:t>
            </w:r>
            <w:r w:rsidR="00A20DC5">
              <w:rPr>
                <w:b/>
              </w:rPr>
              <w:t>8</w:t>
            </w:r>
            <w:r w:rsidRPr="00A20DC5">
              <w:rPr>
                <w:b/>
              </w:rPr>
              <w:t>/1</w:t>
            </w:r>
            <w:r w:rsidR="00A20DC5">
              <w:rPr>
                <w:b/>
              </w:rPr>
              <w:t>9</w:t>
            </w:r>
          </w:p>
        </w:tc>
        <w:tc>
          <w:tcPr>
            <w:tcW w:w="1036" w:type="dxa"/>
            <w:tcBorders>
              <w:bottom w:val="single" w:sz="4" w:space="0" w:color="auto"/>
            </w:tcBorders>
            <w:shd w:val="clear" w:color="auto" w:fill="auto"/>
          </w:tcPr>
          <w:p w:rsidR="00911198" w:rsidRPr="00A20DC5" w:rsidRDefault="00911198" w:rsidP="00A20DC5">
            <w:pPr>
              <w:spacing w:after="240"/>
              <w:jc w:val="right"/>
              <w:rPr>
                <w:b/>
              </w:rPr>
            </w:pPr>
            <w:r w:rsidRPr="00A20DC5">
              <w:rPr>
                <w:b/>
              </w:rPr>
              <w:t>(4,6</w:t>
            </w:r>
            <w:r w:rsidR="00A20DC5">
              <w:rPr>
                <w:b/>
              </w:rPr>
              <w:t>0</w:t>
            </w:r>
            <w:r w:rsidRPr="00A20DC5">
              <w:rPr>
                <w:b/>
              </w:rPr>
              <w:t>7)</w:t>
            </w:r>
          </w:p>
        </w:tc>
        <w:tc>
          <w:tcPr>
            <w:tcW w:w="1061" w:type="dxa"/>
            <w:tcBorders>
              <w:bottom w:val="single" w:sz="4" w:space="0" w:color="auto"/>
            </w:tcBorders>
            <w:shd w:val="clear" w:color="auto" w:fill="auto"/>
            <w:vAlign w:val="center"/>
          </w:tcPr>
          <w:p w:rsidR="00911198" w:rsidRPr="00A20DC5" w:rsidRDefault="00911198" w:rsidP="00996717">
            <w:pPr>
              <w:spacing w:after="240"/>
              <w:jc w:val="right"/>
              <w:rPr>
                <w:b/>
              </w:rPr>
            </w:pPr>
            <w:r w:rsidRPr="00A20DC5">
              <w:rPr>
                <w:b/>
              </w:rPr>
              <w:t>(4,</w:t>
            </w:r>
            <w:r w:rsidR="00A20DC5">
              <w:rPr>
                <w:b/>
              </w:rPr>
              <w:t>79</w:t>
            </w:r>
            <w:r w:rsidR="00996717">
              <w:rPr>
                <w:b/>
              </w:rPr>
              <w:t>5</w:t>
            </w:r>
            <w:r w:rsidRPr="00A20DC5">
              <w:rPr>
                <w:b/>
              </w:rPr>
              <w:t>)</w:t>
            </w:r>
          </w:p>
        </w:tc>
        <w:tc>
          <w:tcPr>
            <w:tcW w:w="1134" w:type="dxa"/>
          </w:tcPr>
          <w:p w:rsidR="00911198" w:rsidRPr="00A20DC5" w:rsidRDefault="00911198" w:rsidP="00D22A9A">
            <w:pPr>
              <w:spacing w:after="240"/>
              <w:jc w:val="right"/>
              <w:rPr>
                <w:b/>
              </w:rPr>
            </w:pPr>
            <w:r w:rsidRPr="00A20DC5">
              <w:rPr>
                <w:b/>
              </w:rPr>
              <w:t>(</w:t>
            </w:r>
            <w:r w:rsidR="00A20DC5">
              <w:rPr>
                <w:b/>
              </w:rPr>
              <w:t>1</w:t>
            </w:r>
            <w:r w:rsidR="00D22A9A">
              <w:rPr>
                <w:b/>
              </w:rPr>
              <w:t>88</w:t>
            </w:r>
            <w:r w:rsidRPr="00A20DC5">
              <w:rPr>
                <w:b/>
              </w:rPr>
              <w:t>)</w:t>
            </w:r>
          </w:p>
        </w:tc>
      </w:tr>
      <w:tr w:rsidR="00A20DC5" w:rsidRPr="00A20DC5" w:rsidTr="00BE2C53">
        <w:trPr>
          <w:jc w:val="center"/>
        </w:trPr>
        <w:tc>
          <w:tcPr>
            <w:tcW w:w="5289" w:type="dxa"/>
            <w:shd w:val="clear" w:color="auto" w:fill="auto"/>
            <w:vAlign w:val="bottom"/>
          </w:tcPr>
          <w:p w:rsidR="00A20DC5" w:rsidRPr="00A20DC5" w:rsidRDefault="00A20DC5" w:rsidP="00911198">
            <w:pPr>
              <w:spacing w:after="240"/>
              <w:jc w:val="both"/>
              <w:rPr>
                <w:b/>
              </w:rPr>
            </w:pPr>
            <w:r w:rsidRPr="00A20DC5">
              <w:rPr>
                <w:b/>
              </w:rPr>
              <w:t>Transfer to Business Rates Retention Reserve</w:t>
            </w:r>
          </w:p>
        </w:tc>
        <w:tc>
          <w:tcPr>
            <w:tcW w:w="2097" w:type="dxa"/>
            <w:gridSpan w:val="2"/>
            <w:shd w:val="clear" w:color="auto" w:fill="auto"/>
          </w:tcPr>
          <w:p w:rsidR="00A20DC5" w:rsidRPr="00A20DC5" w:rsidRDefault="00A20DC5">
            <w:pPr>
              <w:spacing w:after="240"/>
              <w:jc w:val="right"/>
              <w:rPr>
                <w:b/>
              </w:rPr>
            </w:pPr>
          </w:p>
        </w:tc>
        <w:tc>
          <w:tcPr>
            <w:tcW w:w="1134" w:type="dxa"/>
            <w:shd w:val="clear" w:color="auto" w:fill="auto"/>
          </w:tcPr>
          <w:p w:rsidR="00A20DC5" w:rsidRPr="00A20DC5" w:rsidRDefault="00D22A9A" w:rsidP="00D22A9A">
            <w:pPr>
              <w:spacing w:after="240"/>
              <w:jc w:val="right"/>
              <w:rPr>
                <w:b/>
              </w:rPr>
            </w:pPr>
            <w:r>
              <w:rPr>
                <w:b/>
              </w:rPr>
              <w:t>188</w:t>
            </w:r>
          </w:p>
        </w:tc>
      </w:tr>
    </w:tbl>
    <w:p w:rsidR="00BF5EBB" w:rsidRDefault="00BF5EBB" w:rsidP="00BF5EBB">
      <w:pPr>
        <w:spacing w:after="240" w:line="276" w:lineRule="auto"/>
        <w:ind w:left="360"/>
        <w:contextualSpacing/>
        <w:jc w:val="both"/>
        <w:rPr>
          <w:rFonts w:cs="Arial"/>
          <w:szCs w:val="22"/>
          <w:lang w:val="en-US" w:eastAsia="en-US"/>
        </w:rPr>
      </w:pPr>
      <w:r>
        <w:rPr>
          <w:rFonts w:cs="Arial"/>
          <w:szCs w:val="22"/>
          <w:lang w:val="en-US" w:eastAsia="en-US"/>
        </w:rPr>
        <w:t xml:space="preserve">   </w:t>
      </w:r>
      <w:r w:rsidRPr="00EC4987">
        <w:rPr>
          <w:rFonts w:cs="Arial"/>
          <w:szCs w:val="22"/>
          <w:lang w:val="en-US" w:eastAsia="en-US"/>
        </w:rPr>
        <w:t xml:space="preserve">  </w:t>
      </w:r>
    </w:p>
    <w:p w:rsidR="00650CB5" w:rsidRPr="00A20DC5" w:rsidRDefault="00C50CD1" w:rsidP="002E1752">
      <w:pPr>
        <w:spacing w:after="240"/>
        <w:ind w:left="720" w:hanging="720"/>
        <w:jc w:val="both"/>
        <w:rPr>
          <w:b/>
          <w:lang w:eastAsia="x-none"/>
        </w:rPr>
      </w:pPr>
      <w:r>
        <w:t>6.1</w:t>
      </w:r>
      <w:r w:rsidR="00A20DC5">
        <w:t>6</w:t>
      </w:r>
      <w:r w:rsidR="00A62202">
        <w:tab/>
      </w:r>
      <w:r w:rsidR="00911198" w:rsidRPr="00A20DC5">
        <w:t>T</w:t>
      </w:r>
      <w:r w:rsidR="00BF5EBB" w:rsidRPr="00A20DC5">
        <w:t xml:space="preserve">he total </w:t>
      </w:r>
      <w:r w:rsidR="00911198" w:rsidRPr="00A20DC5">
        <w:t>business rates funding</w:t>
      </w:r>
      <w:r w:rsidR="00BF5EBB" w:rsidRPr="00A20DC5">
        <w:t xml:space="preserve"> at the end of the </w:t>
      </w:r>
      <w:r w:rsidR="00D7343A" w:rsidRPr="00A20DC5">
        <w:t xml:space="preserve">year </w:t>
      </w:r>
      <w:r w:rsidR="00D7343A" w:rsidRPr="00D22A9A">
        <w:t>was £</w:t>
      </w:r>
      <w:r w:rsidR="001C3A78" w:rsidRPr="00D22A9A">
        <w:t>0.</w:t>
      </w:r>
      <w:r w:rsidR="00A20DC5" w:rsidRPr="00D22A9A">
        <w:t>1</w:t>
      </w:r>
      <w:r w:rsidR="00D22A9A" w:rsidRPr="00D22A9A">
        <w:t>88</w:t>
      </w:r>
      <w:r w:rsidR="001C3A78" w:rsidRPr="00D22A9A">
        <w:t>m</w:t>
      </w:r>
      <w:r w:rsidR="00D7343A" w:rsidRPr="00D22A9A">
        <w:t xml:space="preserve"> </w:t>
      </w:r>
      <w:r w:rsidR="00BF5EBB" w:rsidRPr="00D22A9A">
        <w:t xml:space="preserve">higher than the </w:t>
      </w:r>
      <w:r w:rsidR="00B47247" w:rsidRPr="00D22A9A">
        <w:t xml:space="preserve">original </w:t>
      </w:r>
      <w:r w:rsidR="00641FAF" w:rsidRPr="00D22A9A">
        <w:t xml:space="preserve">budget </w:t>
      </w:r>
      <w:r w:rsidR="00BF5EBB" w:rsidRPr="00D22A9A">
        <w:t xml:space="preserve">due to additional s31 grant funding </w:t>
      </w:r>
      <w:r w:rsidR="00B47981" w:rsidRPr="00D22A9A">
        <w:t xml:space="preserve">received. </w:t>
      </w:r>
      <w:r w:rsidR="00661B9F" w:rsidRPr="00D22A9A">
        <w:t>S31 grant is a compensatory payment for Central Government changes which result</w:t>
      </w:r>
      <w:r w:rsidR="00911198" w:rsidRPr="00D22A9A">
        <w:t>ed</w:t>
      </w:r>
      <w:r w:rsidR="00661B9F" w:rsidRPr="00D22A9A">
        <w:t xml:space="preserve"> i</w:t>
      </w:r>
      <w:r w:rsidR="00D7343A" w:rsidRPr="00D22A9A">
        <w:t>n</w:t>
      </w:r>
      <w:r w:rsidR="00661B9F" w:rsidRPr="00D22A9A">
        <w:t xml:space="preserve"> a reduction in income for local authorities. </w:t>
      </w:r>
      <w:r w:rsidR="00B47981" w:rsidRPr="00D22A9A">
        <w:t>When the budget was being revised in December 201</w:t>
      </w:r>
      <w:r w:rsidR="00A20DC5" w:rsidRPr="00D22A9A">
        <w:t>8</w:t>
      </w:r>
      <w:r w:rsidR="00B47981" w:rsidRPr="00D22A9A">
        <w:t xml:space="preserve"> there was</w:t>
      </w:r>
      <w:r w:rsidR="009548D5" w:rsidRPr="00D22A9A">
        <w:t xml:space="preserve"> </w:t>
      </w:r>
      <w:r w:rsidR="00701359" w:rsidRPr="00D22A9A">
        <w:t>uncertainty in</w:t>
      </w:r>
      <w:r w:rsidR="00701359" w:rsidRPr="00A20DC5">
        <w:t xml:space="preserve"> relation to the basis of the calculation of s31 grant funding</w:t>
      </w:r>
      <w:r w:rsidR="009930FF" w:rsidRPr="00A20DC5">
        <w:t xml:space="preserve"> for 201</w:t>
      </w:r>
      <w:r w:rsidR="00EA5EED">
        <w:t>8</w:t>
      </w:r>
      <w:r w:rsidR="009930FF" w:rsidRPr="00A20DC5">
        <w:t>/1</w:t>
      </w:r>
      <w:r w:rsidR="00EA5EED">
        <w:t>9</w:t>
      </w:r>
      <w:r w:rsidR="009930FF" w:rsidRPr="00A20DC5">
        <w:t xml:space="preserve"> in relation to small business rate relief</w:t>
      </w:r>
      <w:r w:rsidR="00911198" w:rsidRPr="00A20DC5">
        <w:t>.  The amount of funding received is £0.</w:t>
      </w:r>
      <w:r w:rsidR="00EA5EED">
        <w:t>1</w:t>
      </w:r>
      <w:r w:rsidR="00D22A9A">
        <w:t>88</w:t>
      </w:r>
      <w:r w:rsidR="00911198" w:rsidRPr="00A20DC5">
        <w:t>m higher than had been budgeted for.  The council has a business rates equalisation reserve to manage the risk of changes in business rate income and</w:t>
      </w:r>
      <w:r w:rsidR="003C0D40" w:rsidRPr="00A20DC5">
        <w:t xml:space="preserve"> the additional £0.</w:t>
      </w:r>
      <w:r w:rsidR="00EA5EED">
        <w:t>1</w:t>
      </w:r>
      <w:r w:rsidR="00D22A9A">
        <w:t>88</w:t>
      </w:r>
      <w:r w:rsidR="003C0D40" w:rsidRPr="00A20DC5">
        <w:t xml:space="preserve">m </w:t>
      </w:r>
      <w:r w:rsidR="00EA5EED">
        <w:t xml:space="preserve">has been </w:t>
      </w:r>
      <w:r w:rsidR="003C0D40" w:rsidRPr="00A20DC5">
        <w:t>transferred to that reserve in line with previous practice.</w:t>
      </w:r>
    </w:p>
    <w:p w:rsidR="003B3A65" w:rsidRPr="004A5BEA" w:rsidRDefault="000F5DCD" w:rsidP="007501C8">
      <w:pPr>
        <w:ind w:left="284" w:hanging="284"/>
        <w:jc w:val="both"/>
        <w:rPr>
          <w:rFonts w:cs="Arial"/>
          <w:b/>
        </w:rPr>
      </w:pPr>
      <w:r w:rsidRPr="004A5BEA">
        <w:rPr>
          <w:rFonts w:cs="Arial"/>
          <w:b/>
        </w:rPr>
        <w:t xml:space="preserve">7    </w:t>
      </w:r>
      <w:r w:rsidR="003B3A65" w:rsidRPr="004A5BEA">
        <w:rPr>
          <w:rFonts w:cs="Arial"/>
          <w:b/>
        </w:rPr>
        <w:t xml:space="preserve">  </w:t>
      </w:r>
      <w:r w:rsidRPr="004A5BEA">
        <w:rPr>
          <w:rFonts w:cs="Arial"/>
          <w:b/>
        </w:rPr>
        <w:t>CAPITAL BUDGET OUTTURN</w:t>
      </w:r>
      <w:r w:rsidR="004B6ECC" w:rsidRPr="004A5BEA">
        <w:rPr>
          <w:rFonts w:cs="Arial"/>
          <w:b/>
        </w:rPr>
        <w:t xml:space="preserve"> </w:t>
      </w:r>
    </w:p>
    <w:p w:rsidR="00D23B41" w:rsidRPr="004A5BEA" w:rsidRDefault="00D23B41" w:rsidP="00D23B41">
      <w:pPr>
        <w:tabs>
          <w:tab w:val="left" w:pos="142"/>
        </w:tabs>
        <w:jc w:val="both"/>
        <w:rPr>
          <w:szCs w:val="22"/>
        </w:rPr>
      </w:pPr>
    </w:p>
    <w:p w:rsidR="003B33BC" w:rsidRDefault="001E11E0" w:rsidP="00667B4B">
      <w:pPr>
        <w:ind w:left="567" w:hanging="567"/>
        <w:rPr>
          <w:rFonts w:eastAsiaTheme="minorHAnsi" w:cstheme="minorBidi"/>
          <w:szCs w:val="22"/>
          <w:lang w:eastAsia="en-US"/>
        </w:rPr>
      </w:pPr>
      <w:r w:rsidRPr="004A5BEA">
        <w:rPr>
          <w:lang w:eastAsia="x-none"/>
        </w:rPr>
        <w:t>7.</w:t>
      </w:r>
      <w:r w:rsidR="00667B4B">
        <w:rPr>
          <w:lang w:eastAsia="x-none"/>
        </w:rPr>
        <w:t>1</w:t>
      </w:r>
      <w:r w:rsidRPr="004A5BEA">
        <w:rPr>
          <w:b/>
          <w:lang w:eastAsia="x-none"/>
        </w:rPr>
        <w:t xml:space="preserve">   </w:t>
      </w:r>
      <w:r w:rsidR="003B33BC" w:rsidRPr="003B33BC">
        <w:rPr>
          <w:rFonts w:eastAsiaTheme="minorHAnsi" w:cstheme="minorBidi"/>
          <w:szCs w:val="22"/>
          <w:lang w:eastAsia="en-US"/>
        </w:rPr>
        <w:t>The final capital programme budget for 2018/19 was £9.8</w:t>
      </w:r>
      <w:r w:rsidR="00EA5EED">
        <w:rPr>
          <w:rFonts w:eastAsiaTheme="minorHAnsi" w:cstheme="minorBidi"/>
          <w:szCs w:val="22"/>
          <w:lang w:eastAsia="en-US"/>
        </w:rPr>
        <w:t>8</w:t>
      </w:r>
      <w:r w:rsidR="003B33BC" w:rsidRPr="003B33BC">
        <w:rPr>
          <w:rFonts w:eastAsiaTheme="minorHAnsi" w:cstheme="minorBidi"/>
          <w:szCs w:val="22"/>
          <w:lang w:eastAsia="en-US"/>
        </w:rPr>
        <w:t>2m which was subsequently revised to £2.898m in February 2019 to take account of slippage in the programme. In revising the 2018/19 budget, the council took the decision to carry forward £6.654m into 2019/20 so that projects that were underway could be completed.  The carry forward has been reflected in the 2019/20 budget.</w:t>
      </w:r>
    </w:p>
    <w:p w:rsidR="00667B4B" w:rsidRPr="003B33BC" w:rsidRDefault="00667B4B" w:rsidP="00667B4B">
      <w:pPr>
        <w:ind w:left="567" w:hanging="567"/>
        <w:rPr>
          <w:rFonts w:eastAsiaTheme="minorHAnsi" w:cstheme="minorBidi"/>
          <w:szCs w:val="22"/>
          <w:lang w:eastAsia="en-US"/>
        </w:rPr>
      </w:pPr>
    </w:p>
    <w:p w:rsidR="00342F19" w:rsidRDefault="00667B4B" w:rsidP="00470FE9">
      <w:pPr>
        <w:ind w:left="567" w:hanging="567"/>
      </w:pPr>
      <w:r>
        <w:rPr>
          <w:rFonts w:eastAsiaTheme="minorHAnsi" w:cstheme="minorBidi"/>
          <w:szCs w:val="22"/>
          <w:lang w:eastAsia="en-US"/>
        </w:rPr>
        <w:t xml:space="preserve">7.2    </w:t>
      </w:r>
      <w:r w:rsidRPr="00D24F5C">
        <w:rPr>
          <w:rFonts w:eastAsiaTheme="minorHAnsi"/>
        </w:rPr>
        <w:t>The Council spent £2.422m against the revised budget of £2.898m, which equates to 83.6% and gives an overall variance of £0.476m.  Of this, £0.486m has been carried forward into 2019/20 to enable projects to be completed</w:t>
      </w:r>
      <w:r w:rsidR="00B31E39">
        <w:rPr>
          <w:rFonts w:eastAsiaTheme="minorHAnsi"/>
        </w:rPr>
        <w:t xml:space="preserve"> and th</w:t>
      </w:r>
      <w:r w:rsidRPr="00D24F5C">
        <w:rPr>
          <w:rFonts w:eastAsiaTheme="minorHAnsi"/>
        </w:rPr>
        <w:t xml:space="preserve">e remaining £0.010m is a net overspend. </w:t>
      </w:r>
      <w:r w:rsidR="001F028A">
        <w:rPr>
          <w:rFonts w:eastAsiaTheme="minorHAnsi"/>
        </w:rPr>
        <w:t>This is summarised in table</w:t>
      </w:r>
      <w:r w:rsidR="001C5E1C">
        <w:rPr>
          <w:rFonts w:eastAsiaTheme="minorHAnsi"/>
        </w:rPr>
        <w:t xml:space="preserve"> 5</w:t>
      </w:r>
      <w:r w:rsidR="001F028A">
        <w:rPr>
          <w:rFonts w:eastAsiaTheme="minorHAnsi"/>
        </w:rPr>
        <w:t xml:space="preserve"> below</w:t>
      </w:r>
      <w:r w:rsidR="001C5E1C">
        <w:rPr>
          <w:rFonts w:eastAsiaTheme="minorHAnsi"/>
        </w:rPr>
        <w:t>.</w:t>
      </w:r>
      <w:r w:rsidR="001F028A">
        <w:rPr>
          <w:rFonts w:eastAsiaTheme="minorHAnsi"/>
        </w:rPr>
        <w:t xml:space="preserve"> </w:t>
      </w:r>
      <w:r w:rsidR="00B31E39">
        <w:rPr>
          <w:rFonts w:eastAsiaTheme="minorHAnsi"/>
        </w:rPr>
        <w:t>With regard to the £0.486m carried forward, £0.136m relates to Disabled Facilities Grants work approved but not carried out before 31 March 2019 and £0.236m relates to vehicle and plant replacements procured in 2009/10.</w:t>
      </w:r>
      <w:r w:rsidR="001C5E1C" w:rsidRPr="001C5E1C">
        <w:rPr>
          <w:rFonts w:eastAsiaTheme="minorHAnsi"/>
        </w:rPr>
        <w:t xml:space="preserve"> </w:t>
      </w:r>
      <w:r w:rsidR="00342F19">
        <w:t xml:space="preserve">This is </w:t>
      </w:r>
      <w:r w:rsidR="00BE2C53">
        <w:t xml:space="preserve">mainly </w:t>
      </w:r>
      <w:r w:rsidR="00342F19">
        <w:t xml:space="preserve">due to a long delay in the delivery of 9 </w:t>
      </w:r>
      <w:r w:rsidR="007831CE">
        <w:t>replacement vans</w:t>
      </w:r>
      <w:r w:rsidR="00342F19">
        <w:t>.</w:t>
      </w:r>
      <w:r w:rsidR="007831CE">
        <w:t xml:space="preserve"> T</w:t>
      </w:r>
      <w:r w:rsidR="00342F19">
        <w:t>he original delivery date quoted was in November but the vehicles did not arrive until May.</w:t>
      </w:r>
      <w:r w:rsidR="007831CE">
        <w:t xml:space="preserve"> In addition, the mayoral car replacement was in the capital programme for 2018/19 but is now planned to be procured in the current financial year, subject to Cabinet approval (see separate report on this agenda).      </w:t>
      </w:r>
    </w:p>
    <w:p w:rsidR="00342F19" w:rsidRDefault="00342F19" w:rsidP="00342F19">
      <w:pPr>
        <w:rPr>
          <w:rFonts w:ascii="Calibri" w:hAnsi="Calibri"/>
        </w:rPr>
      </w:pPr>
    </w:p>
    <w:p w:rsidR="003E7E20" w:rsidRDefault="001C5E1C" w:rsidP="00667B4B">
      <w:pPr>
        <w:ind w:left="567" w:hanging="567"/>
        <w:rPr>
          <w:rFonts w:eastAsiaTheme="minorHAnsi"/>
          <w:color w:val="FF0000"/>
        </w:rPr>
      </w:pPr>
      <w:r>
        <w:rPr>
          <w:rFonts w:eastAsiaTheme="minorHAnsi"/>
        </w:rPr>
        <w:t xml:space="preserve">There are further details on funding and capital spend in 7.3 and 7.4 below and </w:t>
      </w:r>
      <w:r w:rsidRPr="00B31E39">
        <w:rPr>
          <w:rFonts w:eastAsiaTheme="minorHAnsi"/>
          <w:b/>
        </w:rPr>
        <w:t>Appendix C.</w:t>
      </w:r>
    </w:p>
    <w:p w:rsidR="003E7E20" w:rsidRDefault="003E7E20" w:rsidP="00667B4B">
      <w:pPr>
        <w:ind w:left="567" w:hanging="567"/>
        <w:rPr>
          <w:rFonts w:eastAsiaTheme="minorHAnsi"/>
        </w:rPr>
      </w:pPr>
    </w:p>
    <w:p w:rsidR="003B33BC" w:rsidRDefault="00667B4B" w:rsidP="00667B4B">
      <w:pPr>
        <w:spacing w:line="288" w:lineRule="auto"/>
        <w:ind w:firstLine="284"/>
        <w:jc w:val="both"/>
        <w:rPr>
          <w:rFonts w:eastAsiaTheme="minorHAnsi" w:cstheme="minorBidi"/>
          <w:b/>
          <w:szCs w:val="22"/>
          <w:u w:val="single"/>
          <w:lang w:eastAsia="en-US"/>
        </w:rPr>
      </w:pPr>
      <w:r w:rsidRPr="00667B4B">
        <w:rPr>
          <w:rFonts w:eastAsiaTheme="minorHAnsi" w:cstheme="minorBidi"/>
          <w:b/>
          <w:szCs w:val="22"/>
          <w:u w:val="single"/>
          <w:lang w:eastAsia="en-US"/>
        </w:rPr>
        <w:t xml:space="preserve">Table </w:t>
      </w:r>
      <w:r w:rsidR="00B31E39">
        <w:rPr>
          <w:rFonts w:eastAsiaTheme="minorHAnsi" w:cstheme="minorBidi"/>
          <w:b/>
          <w:szCs w:val="22"/>
          <w:u w:val="single"/>
          <w:lang w:eastAsia="en-US"/>
        </w:rPr>
        <w:t>5</w:t>
      </w:r>
      <w:r w:rsidRPr="00667B4B">
        <w:rPr>
          <w:rFonts w:eastAsiaTheme="minorHAnsi" w:cstheme="minorBidi"/>
          <w:b/>
          <w:szCs w:val="22"/>
          <w:u w:val="single"/>
          <w:lang w:eastAsia="en-US"/>
        </w:rPr>
        <w:t>: C</w:t>
      </w:r>
      <w:r w:rsidR="003B33BC" w:rsidRPr="003B33BC">
        <w:rPr>
          <w:rFonts w:eastAsiaTheme="minorHAnsi" w:cstheme="minorBidi"/>
          <w:b/>
          <w:szCs w:val="22"/>
          <w:u w:val="single"/>
          <w:lang w:eastAsia="en-US"/>
        </w:rPr>
        <w:t xml:space="preserve">apital budget </w:t>
      </w:r>
      <w:r w:rsidR="00D24F5C" w:rsidRPr="00667B4B">
        <w:rPr>
          <w:rFonts w:eastAsiaTheme="minorHAnsi" w:cstheme="minorBidi"/>
          <w:b/>
          <w:szCs w:val="22"/>
          <w:u w:val="single"/>
          <w:lang w:eastAsia="en-US"/>
        </w:rPr>
        <w:t>outturn</w:t>
      </w:r>
      <w:r w:rsidRPr="00667B4B">
        <w:rPr>
          <w:rFonts w:eastAsiaTheme="minorHAnsi" w:cstheme="minorBidi"/>
          <w:b/>
          <w:szCs w:val="22"/>
          <w:u w:val="single"/>
          <w:lang w:eastAsia="en-US"/>
        </w:rPr>
        <w:t xml:space="preserve"> summary</w:t>
      </w:r>
      <w:r w:rsidR="00D24F5C" w:rsidRPr="00667B4B">
        <w:rPr>
          <w:rFonts w:eastAsiaTheme="minorHAnsi" w:cstheme="minorBidi"/>
          <w:b/>
          <w:szCs w:val="22"/>
          <w:u w:val="single"/>
          <w:lang w:eastAsia="en-US"/>
        </w:rPr>
        <w:t xml:space="preserve"> </w:t>
      </w:r>
    </w:p>
    <w:p w:rsidR="00667B4B" w:rsidRPr="003B33BC" w:rsidRDefault="00667B4B" w:rsidP="00667B4B">
      <w:pPr>
        <w:spacing w:line="288" w:lineRule="auto"/>
        <w:ind w:firstLine="567"/>
        <w:rPr>
          <w:rFonts w:eastAsiaTheme="minorHAnsi" w:cstheme="minorBidi"/>
          <w:b/>
          <w:szCs w:val="22"/>
          <w:u w:val="single"/>
          <w:lang w:eastAsia="en-US"/>
        </w:rPr>
      </w:pPr>
    </w:p>
    <w:tbl>
      <w:tblPr>
        <w:tblW w:w="9640" w:type="dxa"/>
        <w:jc w:val="center"/>
        <w:tblLayout w:type="fixed"/>
        <w:tblCellMar>
          <w:left w:w="57" w:type="dxa"/>
          <w:right w:w="57" w:type="dxa"/>
        </w:tblCellMar>
        <w:tblLook w:val="04A0" w:firstRow="1" w:lastRow="0" w:firstColumn="1" w:lastColumn="0" w:noHBand="0" w:noVBand="1"/>
      </w:tblPr>
      <w:tblGrid>
        <w:gridCol w:w="2972"/>
        <w:gridCol w:w="1134"/>
        <w:gridCol w:w="1134"/>
        <w:gridCol w:w="1134"/>
        <w:gridCol w:w="1139"/>
        <w:gridCol w:w="1161"/>
        <w:gridCol w:w="966"/>
      </w:tblGrid>
      <w:tr w:rsidR="00D24F5C" w:rsidRPr="009B5EC3" w:rsidTr="00373A32">
        <w:trPr>
          <w:tblHeader/>
          <w:jc w:val="center"/>
        </w:trPr>
        <w:tc>
          <w:tcPr>
            <w:tcW w:w="2972" w:type="dxa"/>
            <w:tcBorders>
              <w:top w:val="single" w:sz="4" w:space="0" w:color="auto"/>
              <w:left w:val="single" w:sz="4" w:space="0" w:color="auto"/>
              <w:right w:val="single" w:sz="4" w:space="0" w:color="auto"/>
            </w:tcBorders>
            <w:shd w:val="clear" w:color="000000" w:fill="BDD6EE" w:themeFill="accent1" w:themeFillTint="66"/>
            <w:vAlign w:val="center"/>
            <w:hideMark/>
          </w:tcPr>
          <w:p w:rsidR="00D24F5C" w:rsidRPr="00373A32" w:rsidRDefault="00D24F5C" w:rsidP="00373A32">
            <w:pPr>
              <w:rPr>
                <w:rFonts w:cs="Arial"/>
                <w:b/>
                <w:szCs w:val="22"/>
              </w:rPr>
            </w:pPr>
            <w:r w:rsidRPr="00373A32">
              <w:rPr>
                <w:rFonts w:cs="Arial"/>
                <w:szCs w:val="22"/>
              </w:rPr>
              <w:lastRenderedPageBreak/>
              <w:br w:type="page"/>
            </w:r>
            <w:r w:rsidR="00373A32" w:rsidRPr="00373A32">
              <w:rPr>
                <w:rFonts w:cs="Arial"/>
                <w:b/>
                <w:szCs w:val="22"/>
              </w:rPr>
              <w:t>Programme</w:t>
            </w:r>
          </w:p>
        </w:tc>
        <w:tc>
          <w:tcPr>
            <w:tcW w:w="1134"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Budget</w:t>
            </w:r>
          </w:p>
        </w:tc>
        <w:tc>
          <w:tcPr>
            <w:tcW w:w="1134"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Revised  Budget</w:t>
            </w:r>
          </w:p>
          <w:p w:rsidR="00D24F5C" w:rsidRPr="00373A32" w:rsidRDefault="00D24F5C" w:rsidP="00AC5A6B">
            <w:pPr>
              <w:jc w:val="center"/>
              <w:rPr>
                <w:rFonts w:cs="Arial"/>
                <w:b/>
                <w:szCs w:val="22"/>
              </w:rPr>
            </w:pPr>
            <w:r w:rsidRPr="00373A32">
              <w:rPr>
                <w:rFonts w:cs="Arial"/>
                <w:b/>
                <w:szCs w:val="22"/>
              </w:rPr>
              <w:t>(A)</w:t>
            </w:r>
          </w:p>
        </w:tc>
        <w:tc>
          <w:tcPr>
            <w:tcW w:w="1134"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Expend-iture</w:t>
            </w:r>
          </w:p>
          <w:p w:rsidR="00D24F5C" w:rsidRPr="00373A32" w:rsidRDefault="00D24F5C" w:rsidP="00AC5A6B">
            <w:pPr>
              <w:jc w:val="center"/>
              <w:rPr>
                <w:rFonts w:cs="Arial"/>
                <w:b/>
                <w:szCs w:val="22"/>
              </w:rPr>
            </w:pPr>
            <w:r w:rsidRPr="00373A32">
              <w:rPr>
                <w:rFonts w:cs="Arial"/>
                <w:b/>
                <w:szCs w:val="22"/>
              </w:rPr>
              <w:t>(B)</w:t>
            </w:r>
          </w:p>
        </w:tc>
        <w:tc>
          <w:tcPr>
            <w:tcW w:w="1139"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 xml:space="preserve">Variance (B) – (A) </w:t>
            </w:r>
          </w:p>
        </w:tc>
        <w:tc>
          <w:tcPr>
            <w:tcW w:w="1161" w:type="dxa"/>
            <w:tcBorders>
              <w:top w:val="single" w:sz="4" w:space="0" w:color="auto"/>
              <w:left w:val="nil"/>
              <w:right w:val="single" w:sz="4" w:space="0" w:color="auto"/>
            </w:tcBorders>
            <w:shd w:val="clear" w:color="000000" w:fill="BDD6EE" w:themeFill="accent1" w:themeFillTint="66"/>
            <w:tcMar>
              <w:left w:w="28" w:type="dxa"/>
              <w:right w:w="28" w:type="dxa"/>
            </w:tcMar>
            <w:vAlign w:val="center"/>
            <w:hideMark/>
          </w:tcPr>
          <w:p w:rsidR="00D24F5C" w:rsidRPr="00373A32" w:rsidRDefault="00D24F5C" w:rsidP="00AC5A6B">
            <w:pPr>
              <w:jc w:val="center"/>
              <w:rPr>
                <w:rFonts w:cs="Arial"/>
                <w:b/>
                <w:szCs w:val="22"/>
              </w:rPr>
            </w:pPr>
            <w:r w:rsidRPr="00373A32">
              <w:rPr>
                <w:rFonts w:cs="Arial"/>
                <w:b/>
                <w:szCs w:val="22"/>
              </w:rPr>
              <w:t xml:space="preserve">Re-phased </w:t>
            </w:r>
          </w:p>
          <w:p w:rsidR="00D24F5C" w:rsidRPr="00373A32" w:rsidRDefault="00D24F5C" w:rsidP="00AC5A6B">
            <w:pPr>
              <w:jc w:val="center"/>
              <w:rPr>
                <w:rFonts w:cs="Arial"/>
                <w:b/>
                <w:szCs w:val="22"/>
              </w:rPr>
            </w:pPr>
            <w:r w:rsidRPr="00373A32">
              <w:rPr>
                <w:rFonts w:cs="Arial"/>
                <w:b/>
                <w:szCs w:val="22"/>
              </w:rPr>
              <w:t>into</w:t>
            </w:r>
          </w:p>
          <w:p w:rsidR="00D24F5C" w:rsidRPr="00373A32" w:rsidRDefault="00D24F5C" w:rsidP="00AC5A6B">
            <w:pPr>
              <w:jc w:val="center"/>
              <w:rPr>
                <w:rFonts w:cs="Arial"/>
                <w:b/>
                <w:szCs w:val="22"/>
              </w:rPr>
            </w:pPr>
            <w:r w:rsidRPr="00373A32">
              <w:rPr>
                <w:rFonts w:cs="Arial"/>
                <w:b/>
                <w:szCs w:val="22"/>
              </w:rPr>
              <w:t>2019-20</w:t>
            </w:r>
          </w:p>
        </w:tc>
        <w:tc>
          <w:tcPr>
            <w:tcW w:w="966"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Over / (Under)</w:t>
            </w:r>
          </w:p>
          <w:p w:rsidR="00D24F5C" w:rsidRPr="00373A32" w:rsidRDefault="00D24F5C" w:rsidP="00AC5A6B">
            <w:pPr>
              <w:jc w:val="center"/>
              <w:rPr>
                <w:rFonts w:cs="Arial"/>
                <w:b/>
                <w:szCs w:val="22"/>
              </w:rPr>
            </w:pPr>
            <w:r w:rsidRPr="00373A32">
              <w:rPr>
                <w:rFonts w:cs="Arial"/>
                <w:b/>
                <w:szCs w:val="22"/>
              </w:rPr>
              <w:t>spend</w:t>
            </w:r>
          </w:p>
        </w:tc>
      </w:tr>
      <w:tr w:rsidR="00D24F5C" w:rsidRPr="009B5EC3" w:rsidTr="00373A32">
        <w:trPr>
          <w:tblHeader/>
          <w:jc w:val="center"/>
        </w:trPr>
        <w:tc>
          <w:tcPr>
            <w:tcW w:w="2972" w:type="dxa"/>
            <w:tcBorders>
              <w:left w:val="single" w:sz="4" w:space="0" w:color="auto"/>
              <w:bottom w:val="single" w:sz="4" w:space="0" w:color="auto"/>
              <w:right w:val="single" w:sz="4" w:space="0" w:color="auto"/>
            </w:tcBorders>
            <w:shd w:val="clear" w:color="000000" w:fill="BDD6EE" w:themeFill="accent1" w:themeFillTint="66"/>
            <w:vAlign w:val="center"/>
          </w:tcPr>
          <w:p w:rsidR="00D24F5C" w:rsidRPr="00373A32" w:rsidRDefault="00D24F5C" w:rsidP="00AC5A6B">
            <w:pPr>
              <w:rPr>
                <w:rFonts w:cs="Arial"/>
                <w:b/>
                <w:szCs w:val="22"/>
              </w:rPr>
            </w:pPr>
          </w:p>
        </w:tc>
        <w:tc>
          <w:tcPr>
            <w:tcW w:w="1134"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34"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34"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39"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61"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966"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r>
      <w:tr w:rsidR="00D24F5C" w:rsidRPr="009B5EC3" w:rsidTr="00373A32">
        <w:trPr>
          <w:trHeight w:val="113"/>
          <w:jc w:val="center"/>
        </w:trPr>
        <w:tc>
          <w:tcPr>
            <w:tcW w:w="4106"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Default="00D24F5C" w:rsidP="00AC5A6B">
            <w:pPr>
              <w:rPr>
                <w:rFonts w:cs="Arial"/>
                <w:sz w:val="20"/>
              </w:rPr>
            </w:pPr>
          </w:p>
          <w:p w:rsidR="00D24F5C" w:rsidRPr="009B5EC3" w:rsidRDefault="00D24F5C" w:rsidP="00AC5A6B">
            <w:pPr>
              <w:rPr>
                <w:rFonts w:cs="Arial"/>
                <w:sz w:val="20"/>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9B5EC3" w:rsidRDefault="00D24F5C" w:rsidP="00AC5A6B">
            <w:pPr>
              <w:jc w:val="right"/>
              <w:rPr>
                <w:rFonts w:cs="Arial"/>
                <w:sz w:val="20"/>
              </w:rPr>
            </w:pPr>
          </w:p>
        </w:tc>
      </w:tr>
      <w:tr w:rsidR="00D24F5C" w:rsidRPr="009B5EC3" w:rsidTr="00373A32">
        <w:trPr>
          <w:trHeight w:val="421"/>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Pr="00373A32" w:rsidRDefault="00EC4E16" w:rsidP="00AC5A6B">
            <w:pPr>
              <w:rPr>
                <w:rFonts w:cs="Arial"/>
                <w:szCs w:val="22"/>
              </w:rPr>
            </w:pPr>
            <w:r w:rsidRPr="00373A32">
              <w:rPr>
                <w:rFonts w:cs="Arial"/>
                <w:b/>
                <w:color w:val="0070C0"/>
                <w:szCs w:val="22"/>
              </w:rPr>
              <w:t>Health, Leisure and Well Being</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EC4E16" w:rsidP="00EC4E16">
            <w:pPr>
              <w:jc w:val="right"/>
              <w:rPr>
                <w:rFonts w:cs="Arial"/>
                <w:szCs w:val="22"/>
              </w:rPr>
            </w:pPr>
            <w:r w:rsidRPr="00373A32">
              <w:rPr>
                <w:rFonts w:cs="Arial"/>
                <w:szCs w:val="22"/>
              </w:rPr>
              <w:t>2,595</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919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829</w:t>
            </w: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373A32">
            <w:pPr>
              <w:jc w:val="right"/>
              <w:rPr>
                <w:rFonts w:cs="Arial"/>
                <w:szCs w:val="22"/>
              </w:rPr>
            </w:pPr>
            <w:r w:rsidRPr="00373A32">
              <w:rPr>
                <w:rFonts w:cs="Arial"/>
                <w:szCs w:val="22"/>
              </w:rPr>
              <w:t>(</w:t>
            </w:r>
            <w:r w:rsidR="00373A32" w:rsidRPr="00373A32">
              <w:rPr>
                <w:rFonts w:cs="Arial"/>
                <w:szCs w:val="22"/>
              </w:rPr>
              <w:t>90</w:t>
            </w:r>
            <w:r w:rsidRPr="00373A32">
              <w:rPr>
                <w:rFonts w:cs="Arial"/>
                <w:szCs w:val="22"/>
              </w:rPr>
              <w:t>)</w:t>
            </w: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373A32">
            <w:pPr>
              <w:jc w:val="right"/>
              <w:rPr>
                <w:rFonts w:cs="Arial"/>
                <w:szCs w:val="22"/>
              </w:rPr>
            </w:pPr>
            <w:r w:rsidRPr="00373A32">
              <w:rPr>
                <w:rFonts w:cs="Arial"/>
                <w:szCs w:val="22"/>
              </w:rPr>
              <w:t>(</w:t>
            </w:r>
            <w:r w:rsidR="00373A32" w:rsidRPr="00373A32">
              <w:rPr>
                <w:rFonts w:cs="Arial"/>
                <w:szCs w:val="22"/>
              </w:rPr>
              <w:t>88</w:t>
            </w:r>
            <w:r w:rsidRPr="00373A32">
              <w:rPr>
                <w:rFonts w:cs="Arial"/>
                <w:szCs w:val="22"/>
              </w:rPr>
              <w:t>)</w:t>
            </w: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373A32" w:rsidRDefault="00373A32" w:rsidP="00373A32">
            <w:pPr>
              <w:jc w:val="right"/>
              <w:rPr>
                <w:rFonts w:cs="Arial"/>
                <w:szCs w:val="22"/>
              </w:rPr>
            </w:pPr>
            <w:r w:rsidRPr="00373A32">
              <w:rPr>
                <w:rFonts w:cs="Arial"/>
                <w:szCs w:val="22"/>
              </w:rPr>
              <w:t>(2)</w:t>
            </w:r>
          </w:p>
        </w:tc>
      </w:tr>
      <w:tr w:rsidR="00373A32" w:rsidRPr="009B5EC3" w:rsidTr="0066294B">
        <w:trPr>
          <w:trHeight w:val="272"/>
          <w:jc w:val="center"/>
        </w:trPr>
        <w:tc>
          <w:tcPr>
            <w:tcW w:w="9640" w:type="dxa"/>
            <w:gridSpan w:val="7"/>
            <w:tcBorders>
              <w:top w:val="single" w:sz="4" w:space="0" w:color="BFBFBF"/>
              <w:left w:val="single" w:sz="4" w:space="0" w:color="auto"/>
              <w:bottom w:val="single" w:sz="4" w:space="0" w:color="BFBFBF"/>
              <w:right w:val="single" w:sz="4" w:space="0" w:color="auto"/>
            </w:tcBorders>
            <w:shd w:val="clear" w:color="auto" w:fill="auto"/>
            <w:vAlign w:val="center"/>
          </w:tcPr>
          <w:p w:rsidR="00373A32" w:rsidRPr="00373A32" w:rsidRDefault="00373A32" w:rsidP="00AC5A6B">
            <w:pPr>
              <w:rPr>
                <w:rFonts w:cs="Arial"/>
                <w:szCs w:val="22"/>
              </w:rPr>
            </w:pPr>
          </w:p>
          <w:p w:rsidR="00373A32" w:rsidRPr="00373A32" w:rsidRDefault="00373A32" w:rsidP="00AC5A6B">
            <w:pPr>
              <w:jc w:val="right"/>
              <w:rPr>
                <w:rFonts w:cs="Arial"/>
                <w:szCs w:val="22"/>
              </w:rPr>
            </w:pPr>
          </w:p>
        </w:tc>
      </w:tr>
      <w:tr w:rsidR="00D24F5C" w:rsidRPr="009B5EC3" w:rsidTr="00373A32">
        <w:trPr>
          <w:trHeight w:val="505"/>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Pr="00373A32" w:rsidRDefault="00EC4E16" w:rsidP="00AC5A6B">
            <w:pPr>
              <w:rPr>
                <w:rFonts w:cs="Arial"/>
                <w:szCs w:val="22"/>
              </w:rPr>
            </w:pPr>
            <w:r w:rsidRPr="00373A32">
              <w:rPr>
                <w:rFonts w:cs="Arial"/>
                <w:b/>
                <w:color w:val="0070C0"/>
                <w:szCs w:val="22"/>
              </w:rPr>
              <w:t>Place</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EC4E16" w:rsidP="00EC4E16">
            <w:pPr>
              <w:jc w:val="right"/>
              <w:rPr>
                <w:rFonts w:cs="Arial"/>
                <w:szCs w:val="22"/>
              </w:rPr>
            </w:pPr>
            <w:r w:rsidRPr="00373A32">
              <w:rPr>
                <w:rFonts w:cs="Arial"/>
                <w:szCs w:val="22"/>
              </w:rPr>
              <w:t>2,058</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920</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768</w:t>
            </w: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AC5A6B">
            <w:pPr>
              <w:jc w:val="right"/>
              <w:rPr>
                <w:rFonts w:cs="Arial"/>
                <w:szCs w:val="22"/>
              </w:rPr>
            </w:pPr>
            <w:r w:rsidRPr="00373A32">
              <w:rPr>
                <w:rFonts w:cs="Arial"/>
                <w:szCs w:val="22"/>
              </w:rPr>
              <w:t>(1</w:t>
            </w:r>
            <w:r w:rsidR="00373A32" w:rsidRPr="00373A32">
              <w:rPr>
                <w:rFonts w:cs="Arial"/>
                <w:szCs w:val="22"/>
              </w:rPr>
              <w:t>5</w:t>
            </w:r>
            <w:r w:rsidRPr="00373A32">
              <w:rPr>
                <w:rFonts w:cs="Arial"/>
                <w:szCs w:val="22"/>
              </w:rPr>
              <w:t>1)</w:t>
            </w: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AC5A6B">
            <w:pPr>
              <w:jc w:val="right"/>
              <w:rPr>
                <w:rFonts w:cs="Arial"/>
                <w:szCs w:val="22"/>
              </w:rPr>
            </w:pPr>
            <w:r w:rsidRPr="00373A32">
              <w:rPr>
                <w:rFonts w:cs="Arial"/>
                <w:szCs w:val="22"/>
              </w:rPr>
              <w:t>(1</w:t>
            </w:r>
            <w:r w:rsidR="00373A32" w:rsidRPr="00373A32">
              <w:rPr>
                <w:rFonts w:cs="Arial"/>
                <w:szCs w:val="22"/>
              </w:rPr>
              <w:t>5</w:t>
            </w:r>
            <w:r w:rsidRPr="00373A32">
              <w:rPr>
                <w:rFonts w:cs="Arial"/>
                <w:szCs w:val="22"/>
              </w:rPr>
              <w:t>6)</w:t>
            </w: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373A32" w:rsidRDefault="00D24F5C" w:rsidP="00AC5A6B">
            <w:pPr>
              <w:jc w:val="right"/>
              <w:rPr>
                <w:rFonts w:cs="Arial"/>
                <w:szCs w:val="22"/>
              </w:rPr>
            </w:pPr>
            <w:r w:rsidRPr="00373A32">
              <w:rPr>
                <w:rFonts w:cs="Arial"/>
                <w:szCs w:val="22"/>
              </w:rPr>
              <w:t>5</w:t>
            </w:r>
          </w:p>
        </w:tc>
      </w:tr>
      <w:tr w:rsidR="00373A32" w:rsidRPr="009B5EC3" w:rsidTr="0066294B">
        <w:trPr>
          <w:jc w:val="center"/>
        </w:trPr>
        <w:tc>
          <w:tcPr>
            <w:tcW w:w="8674" w:type="dxa"/>
            <w:gridSpan w:val="6"/>
            <w:tcBorders>
              <w:top w:val="single" w:sz="4" w:space="0" w:color="BFBFBF"/>
              <w:left w:val="single" w:sz="4" w:space="0" w:color="auto"/>
              <w:bottom w:val="single" w:sz="4" w:space="0" w:color="BFBFBF"/>
              <w:right w:val="single" w:sz="4" w:space="0" w:color="BFBFBF"/>
            </w:tcBorders>
            <w:shd w:val="clear" w:color="auto" w:fill="auto"/>
            <w:vAlign w:val="center"/>
          </w:tcPr>
          <w:p w:rsidR="00373A32" w:rsidRPr="00373A32" w:rsidRDefault="00373A32" w:rsidP="00AC5A6B">
            <w:pPr>
              <w:rPr>
                <w:rFonts w:cs="Arial"/>
                <w:szCs w:val="22"/>
              </w:rPr>
            </w:pPr>
          </w:p>
          <w:p w:rsidR="00373A32" w:rsidRPr="00373A32" w:rsidRDefault="00373A32" w:rsidP="00AC5A6B">
            <w:pPr>
              <w:jc w:val="right"/>
              <w:rPr>
                <w:rFonts w:cs="Arial"/>
                <w:szCs w:val="22"/>
              </w:rPr>
            </w:pP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373A32" w:rsidRPr="00373A32" w:rsidRDefault="00373A32" w:rsidP="00AC5A6B">
            <w:pPr>
              <w:jc w:val="right"/>
              <w:rPr>
                <w:rFonts w:cs="Arial"/>
                <w:szCs w:val="22"/>
              </w:rPr>
            </w:pPr>
          </w:p>
        </w:tc>
      </w:tr>
      <w:tr w:rsidR="00D24F5C" w:rsidRPr="009B5EC3" w:rsidTr="00373A32">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Pr="00373A32" w:rsidRDefault="00EC4E16" w:rsidP="00AC5A6B">
            <w:pPr>
              <w:rPr>
                <w:rFonts w:cs="Arial"/>
                <w:szCs w:val="22"/>
              </w:rPr>
            </w:pPr>
            <w:r w:rsidRPr="00373A32">
              <w:rPr>
                <w:rFonts w:cs="Arial"/>
                <w:b/>
                <w:color w:val="0070C0"/>
                <w:szCs w:val="22"/>
              </w:rPr>
              <w:t>Excellence &amp; Financial Sustainability</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EC4E16" w:rsidP="00EC4E16">
            <w:pPr>
              <w:jc w:val="right"/>
              <w:rPr>
                <w:rFonts w:cs="Arial"/>
                <w:szCs w:val="22"/>
              </w:rPr>
            </w:pPr>
            <w:r w:rsidRPr="00373A32">
              <w:rPr>
                <w:rFonts w:cs="Arial"/>
                <w:szCs w:val="22"/>
              </w:rPr>
              <w:t>5,229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1,059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825</w:t>
            </w: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(234)</w:t>
            </w: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(242)</w:t>
            </w: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373A32" w:rsidRDefault="00373A32" w:rsidP="00373A32">
            <w:pPr>
              <w:jc w:val="right"/>
              <w:rPr>
                <w:rFonts w:cs="Arial"/>
                <w:szCs w:val="22"/>
              </w:rPr>
            </w:pPr>
            <w:r w:rsidRPr="00373A32">
              <w:rPr>
                <w:rFonts w:cs="Arial"/>
                <w:szCs w:val="22"/>
              </w:rPr>
              <w:t>8</w:t>
            </w:r>
          </w:p>
        </w:tc>
      </w:tr>
      <w:tr w:rsidR="001E6A56" w:rsidRPr="009B5EC3" w:rsidTr="00373A32">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1E6A56" w:rsidRPr="00373A32" w:rsidRDefault="001E6A56" w:rsidP="00AC5A6B">
            <w:pPr>
              <w:rPr>
                <w:rFonts w:cs="Arial"/>
                <w:b/>
                <w:color w:val="0070C0"/>
                <w:szCs w:val="22"/>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EC4E16">
            <w:pPr>
              <w:jc w:val="right"/>
              <w:rPr>
                <w:rFonts w:cs="Arial"/>
                <w:szCs w:val="22"/>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AC5A6B">
            <w:pPr>
              <w:jc w:val="right"/>
              <w:rPr>
                <w:rFonts w:cs="Arial"/>
                <w:szCs w:val="22"/>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373A32">
            <w:pPr>
              <w:jc w:val="right"/>
              <w:rPr>
                <w:rFonts w:cs="Arial"/>
                <w:szCs w:val="22"/>
              </w:rPr>
            </w:pP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373A32">
            <w:pPr>
              <w:jc w:val="right"/>
              <w:rPr>
                <w:rFonts w:cs="Arial"/>
                <w:szCs w:val="22"/>
              </w:rPr>
            </w:pP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373A32">
            <w:pPr>
              <w:jc w:val="right"/>
              <w:rPr>
                <w:rFonts w:cs="Arial"/>
                <w:szCs w:val="22"/>
              </w:rPr>
            </w:pP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1E6A56" w:rsidRPr="00373A32" w:rsidRDefault="001E6A56" w:rsidP="00373A32">
            <w:pPr>
              <w:jc w:val="right"/>
              <w:rPr>
                <w:rFonts w:cs="Arial"/>
                <w:szCs w:val="22"/>
              </w:rPr>
            </w:pPr>
          </w:p>
        </w:tc>
      </w:tr>
      <w:tr w:rsidR="00373A32" w:rsidRPr="009B5EC3" w:rsidTr="00373A32">
        <w:trPr>
          <w:trHeight w:val="469"/>
          <w:jc w:val="center"/>
        </w:trPr>
        <w:tc>
          <w:tcPr>
            <w:tcW w:w="9640" w:type="dxa"/>
            <w:gridSpan w:val="7"/>
            <w:tcBorders>
              <w:top w:val="single" w:sz="4" w:space="0" w:color="BFBFBF"/>
              <w:left w:val="single" w:sz="4" w:space="0" w:color="auto"/>
              <w:bottom w:val="single" w:sz="4" w:space="0" w:color="auto"/>
              <w:right w:val="single" w:sz="4" w:space="0" w:color="auto"/>
            </w:tcBorders>
            <w:shd w:val="clear" w:color="auto" w:fill="auto"/>
            <w:vAlign w:val="center"/>
          </w:tcPr>
          <w:p w:rsidR="00373A32" w:rsidRPr="00373A32" w:rsidRDefault="00373A32" w:rsidP="00AC5A6B">
            <w:pPr>
              <w:jc w:val="right"/>
              <w:rPr>
                <w:rFonts w:cs="Arial"/>
                <w:szCs w:val="22"/>
              </w:rPr>
            </w:pPr>
          </w:p>
        </w:tc>
      </w:tr>
      <w:tr w:rsidR="00D24F5C" w:rsidRPr="009B5EC3" w:rsidTr="00373A32">
        <w:trPr>
          <w:trHeight w:val="419"/>
          <w:jc w:val="center"/>
        </w:trPr>
        <w:tc>
          <w:tcPr>
            <w:tcW w:w="2972" w:type="dxa"/>
            <w:tcBorders>
              <w:top w:val="single" w:sz="4" w:space="0" w:color="auto"/>
              <w:left w:val="single" w:sz="4" w:space="0" w:color="auto"/>
              <w:bottom w:val="single" w:sz="4" w:space="0" w:color="auto"/>
              <w:right w:val="single" w:sz="4" w:space="0" w:color="BFBFBF"/>
            </w:tcBorders>
            <w:shd w:val="clear" w:color="auto" w:fill="D9D9D9" w:themeFill="background1" w:themeFillShade="D9"/>
            <w:vAlign w:val="center"/>
          </w:tcPr>
          <w:p w:rsidR="00D24F5C" w:rsidRPr="00373A32" w:rsidRDefault="00D24F5C" w:rsidP="00AC5A6B">
            <w:pPr>
              <w:rPr>
                <w:rFonts w:cs="Arial"/>
                <w:b/>
                <w:szCs w:val="22"/>
              </w:rPr>
            </w:pPr>
            <w:r w:rsidRPr="00373A32">
              <w:rPr>
                <w:rFonts w:cs="Arial"/>
                <w:b/>
                <w:szCs w:val="22"/>
              </w:rPr>
              <w:t>TOTAL</w:t>
            </w:r>
          </w:p>
        </w:tc>
        <w:tc>
          <w:tcPr>
            <w:tcW w:w="1134"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9,882</w:t>
            </w:r>
          </w:p>
        </w:tc>
        <w:tc>
          <w:tcPr>
            <w:tcW w:w="1134"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2,898</w:t>
            </w:r>
          </w:p>
        </w:tc>
        <w:tc>
          <w:tcPr>
            <w:tcW w:w="1134"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2,422</w:t>
            </w:r>
          </w:p>
        </w:tc>
        <w:tc>
          <w:tcPr>
            <w:tcW w:w="1139"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(476)</w:t>
            </w:r>
          </w:p>
        </w:tc>
        <w:tc>
          <w:tcPr>
            <w:tcW w:w="116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(486)</w:t>
            </w:r>
          </w:p>
        </w:tc>
        <w:tc>
          <w:tcPr>
            <w:tcW w:w="96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10</w:t>
            </w:r>
          </w:p>
        </w:tc>
      </w:tr>
    </w:tbl>
    <w:p w:rsidR="00D24F5C" w:rsidRDefault="00D24F5C" w:rsidP="00D24F5C"/>
    <w:p w:rsidR="00667B4B" w:rsidRDefault="00667B4B" w:rsidP="00667B4B">
      <w:pPr>
        <w:spacing w:after="120"/>
        <w:ind w:left="426" w:firstLine="294"/>
        <w:jc w:val="both"/>
        <w:outlineLvl w:val="0"/>
      </w:pPr>
    </w:p>
    <w:p w:rsidR="00714291" w:rsidRDefault="00714291" w:rsidP="00667B4B">
      <w:pPr>
        <w:spacing w:after="120"/>
        <w:ind w:left="426" w:firstLine="294"/>
        <w:jc w:val="both"/>
        <w:outlineLvl w:val="0"/>
      </w:pPr>
    </w:p>
    <w:p w:rsidR="00667B4B" w:rsidRPr="004A5BEA" w:rsidRDefault="00C40D91" w:rsidP="00667B4B">
      <w:pPr>
        <w:spacing w:after="120"/>
        <w:ind w:left="426" w:hanging="426"/>
        <w:jc w:val="both"/>
        <w:outlineLvl w:val="0"/>
      </w:pPr>
      <w:r>
        <w:t xml:space="preserve">7.3 </w:t>
      </w:r>
      <w:r>
        <w:tab/>
      </w:r>
      <w:r>
        <w:tab/>
      </w:r>
      <w:r>
        <w:tab/>
      </w:r>
      <w:r w:rsidR="00667B4B" w:rsidRPr="004A5BEA">
        <w:t xml:space="preserve">The </w:t>
      </w:r>
      <w:r w:rsidR="00667B4B">
        <w:t>capital expenditure in</w:t>
      </w:r>
      <w:r w:rsidR="00667B4B" w:rsidRPr="004A5BEA">
        <w:t xml:space="preserve"> 2018/19 </w:t>
      </w:r>
      <w:r w:rsidR="00667B4B">
        <w:t>was funded as follows</w:t>
      </w:r>
      <w:r w:rsidR="00667B4B" w:rsidRPr="004A5BEA">
        <w:t>:-</w:t>
      </w:r>
    </w:p>
    <w:p w:rsidR="00667B4B" w:rsidRPr="006D6606" w:rsidRDefault="00667B4B" w:rsidP="00667B4B">
      <w:pPr>
        <w:jc w:val="both"/>
        <w:rPr>
          <w:rFonts w:cs="Arial"/>
          <w:color w:val="FF0000"/>
        </w:rPr>
      </w:pPr>
    </w:p>
    <w:tbl>
      <w:tblPr>
        <w:tblStyle w:val="TableGrid"/>
        <w:tblW w:w="0" w:type="auto"/>
        <w:jc w:val="center"/>
        <w:tblBorders>
          <w:insideV w:val="none" w:sz="0" w:space="0" w:color="auto"/>
        </w:tblBorders>
        <w:tblLook w:val="04A0" w:firstRow="1" w:lastRow="0" w:firstColumn="1" w:lastColumn="0" w:noHBand="0" w:noVBand="1"/>
      </w:tblPr>
      <w:tblGrid>
        <w:gridCol w:w="5807"/>
        <w:gridCol w:w="1276"/>
      </w:tblGrid>
      <w:tr w:rsidR="00667B4B" w:rsidRPr="006D6606" w:rsidTr="00667B4B">
        <w:trPr>
          <w:trHeight w:val="397"/>
          <w:jc w:val="center"/>
        </w:trPr>
        <w:tc>
          <w:tcPr>
            <w:tcW w:w="5807" w:type="dxa"/>
            <w:shd w:val="clear" w:color="auto" w:fill="D9D9D9" w:themeFill="background1" w:themeFillShade="D9"/>
            <w:vAlign w:val="center"/>
          </w:tcPr>
          <w:p w:rsidR="00667B4B" w:rsidRPr="004A5BEA" w:rsidRDefault="00667B4B" w:rsidP="00AC5A6B">
            <w:pPr>
              <w:jc w:val="both"/>
              <w:rPr>
                <w:b/>
              </w:rPr>
            </w:pPr>
            <w:r>
              <w:rPr>
                <w:b/>
              </w:rPr>
              <w:t xml:space="preserve">Capital </w:t>
            </w:r>
            <w:r w:rsidRPr="004A5BEA">
              <w:rPr>
                <w:b/>
              </w:rPr>
              <w:t>Financing</w:t>
            </w:r>
          </w:p>
        </w:tc>
        <w:tc>
          <w:tcPr>
            <w:tcW w:w="1276" w:type="dxa"/>
            <w:shd w:val="clear" w:color="auto" w:fill="D9D9D9" w:themeFill="background1" w:themeFillShade="D9"/>
            <w:vAlign w:val="center"/>
          </w:tcPr>
          <w:p w:rsidR="00667B4B" w:rsidRPr="00C64495" w:rsidRDefault="00667B4B" w:rsidP="00AC5A6B">
            <w:pPr>
              <w:jc w:val="center"/>
              <w:rPr>
                <w:rFonts w:cs="Arial"/>
                <w:b/>
              </w:rPr>
            </w:pPr>
            <w:r w:rsidRPr="00C64495">
              <w:rPr>
                <w:rFonts w:cs="Arial"/>
                <w:b/>
              </w:rPr>
              <w:t>£’000</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Capital receipts</w:t>
            </w:r>
          </w:p>
        </w:tc>
        <w:tc>
          <w:tcPr>
            <w:tcW w:w="1276" w:type="dxa"/>
            <w:vAlign w:val="center"/>
          </w:tcPr>
          <w:p w:rsidR="00667B4B" w:rsidRPr="00C64495" w:rsidRDefault="00667B4B" w:rsidP="00AC5A6B">
            <w:pPr>
              <w:ind w:right="240"/>
              <w:jc w:val="right"/>
              <w:rPr>
                <w:rFonts w:cs="Arial"/>
              </w:rPr>
            </w:pPr>
            <w:r w:rsidRPr="00C64495">
              <w:rPr>
                <w:rFonts w:cs="Arial"/>
              </w:rPr>
              <w:t>1,151</w:t>
            </w:r>
          </w:p>
        </w:tc>
      </w:tr>
      <w:tr w:rsidR="00667B4B" w:rsidRPr="006D6606" w:rsidTr="00667B4B">
        <w:trPr>
          <w:trHeight w:val="397"/>
          <w:jc w:val="center"/>
        </w:trPr>
        <w:tc>
          <w:tcPr>
            <w:tcW w:w="5807" w:type="dxa"/>
            <w:vAlign w:val="center"/>
          </w:tcPr>
          <w:p w:rsidR="00667B4B" w:rsidRPr="004A5BEA" w:rsidRDefault="00667B4B" w:rsidP="00AC5A6B">
            <w:pPr>
              <w:jc w:val="both"/>
            </w:pPr>
            <w:r>
              <w:t xml:space="preserve">Earmarked </w:t>
            </w:r>
            <w:r w:rsidRPr="004A5BEA">
              <w:t>reserves</w:t>
            </w:r>
          </w:p>
        </w:tc>
        <w:tc>
          <w:tcPr>
            <w:tcW w:w="1276" w:type="dxa"/>
            <w:vAlign w:val="center"/>
          </w:tcPr>
          <w:p w:rsidR="00667B4B" w:rsidRPr="00C64495" w:rsidRDefault="00667B4B" w:rsidP="00AC5A6B">
            <w:pPr>
              <w:ind w:right="240"/>
              <w:jc w:val="right"/>
              <w:rPr>
                <w:rFonts w:cs="Arial"/>
              </w:rPr>
            </w:pPr>
            <w:r w:rsidRPr="00C64495">
              <w:rPr>
                <w:rFonts w:cs="Arial"/>
              </w:rPr>
              <w:t>518</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 xml:space="preserve">Government Grants </w:t>
            </w:r>
          </w:p>
        </w:tc>
        <w:tc>
          <w:tcPr>
            <w:tcW w:w="1276" w:type="dxa"/>
            <w:vAlign w:val="center"/>
          </w:tcPr>
          <w:p w:rsidR="00667B4B" w:rsidRPr="00C64495" w:rsidRDefault="00667B4B" w:rsidP="00AC5A6B">
            <w:pPr>
              <w:ind w:right="240"/>
              <w:jc w:val="right"/>
              <w:rPr>
                <w:rFonts w:cs="Arial"/>
              </w:rPr>
            </w:pPr>
            <w:r w:rsidRPr="00C64495">
              <w:rPr>
                <w:rFonts w:cs="Arial"/>
              </w:rPr>
              <w:t>615</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Developers’ Contributions - Section 106</w:t>
            </w:r>
          </w:p>
        </w:tc>
        <w:tc>
          <w:tcPr>
            <w:tcW w:w="1276" w:type="dxa"/>
            <w:vAlign w:val="center"/>
          </w:tcPr>
          <w:p w:rsidR="00667B4B" w:rsidRPr="00C64495" w:rsidRDefault="00667B4B" w:rsidP="00AC5A6B">
            <w:pPr>
              <w:ind w:right="240"/>
              <w:jc w:val="right"/>
              <w:rPr>
                <w:rFonts w:cs="Arial"/>
              </w:rPr>
            </w:pPr>
            <w:r w:rsidRPr="00C64495">
              <w:rPr>
                <w:rFonts w:cs="Arial"/>
              </w:rPr>
              <w:t>73</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City Deal</w:t>
            </w:r>
          </w:p>
        </w:tc>
        <w:tc>
          <w:tcPr>
            <w:tcW w:w="1276" w:type="dxa"/>
            <w:vAlign w:val="center"/>
          </w:tcPr>
          <w:p w:rsidR="00667B4B" w:rsidRPr="006D6606" w:rsidRDefault="00667B4B" w:rsidP="00AC5A6B">
            <w:pPr>
              <w:ind w:right="240"/>
              <w:jc w:val="right"/>
              <w:rPr>
                <w:rFonts w:cs="Arial"/>
                <w:color w:val="FF0000"/>
              </w:rPr>
            </w:pPr>
            <w:r w:rsidRPr="00C64495">
              <w:rPr>
                <w:rFonts w:cs="Arial"/>
              </w:rPr>
              <w:t>51</w:t>
            </w:r>
          </w:p>
        </w:tc>
      </w:tr>
      <w:tr w:rsidR="00667B4B" w:rsidRPr="006D6606" w:rsidTr="00667B4B">
        <w:trPr>
          <w:trHeight w:val="397"/>
          <w:jc w:val="center"/>
        </w:trPr>
        <w:tc>
          <w:tcPr>
            <w:tcW w:w="5807" w:type="dxa"/>
            <w:vAlign w:val="center"/>
          </w:tcPr>
          <w:p w:rsidR="00667B4B" w:rsidRPr="00C64495" w:rsidRDefault="00667B4B" w:rsidP="00AC5A6B">
            <w:pPr>
              <w:jc w:val="both"/>
            </w:pPr>
            <w:r w:rsidRPr="00C64495">
              <w:t>Other external contributions</w:t>
            </w:r>
          </w:p>
        </w:tc>
        <w:tc>
          <w:tcPr>
            <w:tcW w:w="1276" w:type="dxa"/>
            <w:vAlign w:val="center"/>
          </w:tcPr>
          <w:p w:rsidR="00667B4B" w:rsidRPr="00C64495" w:rsidRDefault="00667B4B" w:rsidP="00AC5A6B">
            <w:pPr>
              <w:ind w:right="240"/>
              <w:jc w:val="right"/>
              <w:rPr>
                <w:rFonts w:cs="Arial"/>
              </w:rPr>
            </w:pPr>
            <w:r w:rsidRPr="00C64495">
              <w:rPr>
                <w:rFonts w:cs="Arial"/>
              </w:rPr>
              <w:t>14</w:t>
            </w:r>
          </w:p>
        </w:tc>
      </w:tr>
      <w:tr w:rsidR="00667B4B" w:rsidRPr="006D6606" w:rsidTr="00667B4B">
        <w:trPr>
          <w:trHeight w:val="397"/>
          <w:jc w:val="center"/>
        </w:trPr>
        <w:tc>
          <w:tcPr>
            <w:tcW w:w="5807" w:type="dxa"/>
            <w:shd w:val="clear" w:color="auto" w:fill="D9D9D9" w:themeFill="background1" w:themeFillShade="D9"/>
            <w:vAlign w:val="center"/>
          </w:tcPr>
          <w:p w:rsidR="00667B4B" w:rsidRPr="004A5BEA" w:rsidRDefault="00667B4B" w:rsidP="00AC5A6B">
            <w:pPr>
              <w:jc w:val="both"/>
              <w:rPr>
                <w:b/>
              </w:rPr>
            </w:pPr>
            <w:r w:rsidRPr="004A5BEA">
              <w:rPr>
                <w:b/>
              </w:rPr>
              <w:t>Total financing of capital expenditure</w:t>
            </w:r>
          </w:p>
        </w:tc>
        <w:tc>
          <w:tcPr>
            <w:tcW w:w="1276" w:type="dxa"/>
            <w:shd w:val="clear" w:color="auto" w:fill="D9D9D9" w:themeFill="background1" w:themeFillShade="D9"/>
            <w:vAlign w:val="center"/>
          </w:tcPr>
          <w:p w:rsidR="00667B4B" w:rsidRPr="006D6606" w:rsidRDefault="00667B4B" w:rsidP="00AC5A6B">
            <w:pPr>
              <w:ind w:right="240"/>
              <w:jc w:val="right"/>
              <w:rPr>
                <w:rFonts w:cs="Arial"/>
                <w:b/>
                <w:color w:val="FF0000"/>
              </w:rPr>
            </w:pPr>
            <w:r w:rsidRPr="00C64495">
              <w:rPr>
                <w:rFonts w:cs="Arial"/>
                <w:b/>
              </w:rPr>
              <w:t>2,422</w:t>
            </w:r>
          </w:p>
        </w:tc>
      </w:tr>
    </w:tbl>
    <w:p w:rsidR="00714291" w:rsidRDefault="00C40D91" w:rsidP="00C40D91">
      <w:pPr>
        <w:ind w:left="851" w:hanging="851"/>
        <w:rPr>
          <w:rFonts w:eastAsiaTheme="minorHAnsi" w:cstheme="minorBidi"/>
          <w:szCs w:val="22"/>
          <w:lang w:eastAsia="en-US"/>
        </w:rPr>
      </w:pPr>
      <w:r>
        <w:rPr>
          <w:rFonts w:eastAsiaTheme="minorHAnsi" w:cstheme="minorBidi"/>
          <w:szCs w:val="22"/>
          <w:lang w:eastAsia="en-US"/>
        </w:rPr>
        <w:t xml:space="preserve"> </w:t>
      </w:r>
    </w:p>
    <w:p w:rsidR="00714291" w:rsidRDefault="00714291" w:rsidP="00C40D91">
      <w:pPr>
        <w:ind w:left="851" w:hanging="851"/>
        <w:rPr>
          <w:rFonts w:eastAsiaTheme="minorHAnsi" w:cstheme="minorBidi"/>
          <w:szCs w:val="22"/>
          <w:lang w:eastAsia="en-US"/>
        </w:rPr>
      </w:pPr>
    </w:p>
    <w:p w:rsidR="00714291" w:rsidRDefault="00714291" w:rsidP="00C40D91">
      <w:pPr>
        <w:ind w:left="851" w:hanging="851"/>
        <w:rPr>
          <w:rFonts w:eastAsiaTheme="minorHAnsi" w:cstheme="minorBidi"/>
          <w:szCs w:val="22"/>
          <w:lang w:eastAsia="en-US"/>
        </w:rPr>
      </w:pPr>
    </w:p>
    <w:p w:rsidR="001229F0" w:rsidRDefault="00C40D91" w:rsidP="00C40D91">
      <w:pPr>
        <w:ind w:left="851" w:hanging="851"/>
        <w:rPr>
          <w:rFonts w:eastAsiaTheme="minorHAnsi" w:cstheme="minorBidi"/>
          <w:szCs w:val="22"/>
          <w:lang w:eastAsia="en-US"/>
        </w:rPr>
      </w:pPr>
      <w:r>
        <w:rPr>
          <w:rFonts w:eastAsiaTheme="minorHAnsi" w:cstheme="minorBidi"/>
          <w:szCs w:val="22"/>
          <w:lang w:eastAsia="en-US"/>
        </w:rPr>
        <w:t xml:space="preserve">7.4       </w:t>
      </w:r>
      <w:r w:rsidR="001229F0" w:rsidRPr="001229F0">
        <w:rPr>
          <w:rFonts w:eastAsiaTheme="minorHAnsi" w:cstheme="minorBidi"/>
          <w:szCs w:val="22"/>
          <w:lang w:eastAsia="en-US"/>
        </w:rPr>
        <w:t xml:space="preserve">The significant areas of </w:t>
      </w:r>
      <w:r w:rsidR="001C5E1C">
        <w:rPr>
          <w:rFonts w:eastAsiaTheme="minorHAnsi" w:cstheme="minorBidi"/>
          <w:szCs w:val="22"/>
          <w:lang w:eastAsia="en-US"/>
        </w:rPr>
        <w:t xml:space="preserve">capital </w:t>
      </w:r>
      <w:r w:rsidR="001229F0" w:rsidRPr="001229F0">
        <w:rPr>
          <w:rFonts w:eastAsiaTheme="minorHAnsi" w:cstheme="minorBidi"/>
          <w:szCs w:val="22"/>
          <w:lang w:eastAsia="en-US"/>
        </w:rPr>
        <w:t>spend (over £20,000) and major schemes completed in the 2018/19 capital programme are as follows:</w:t>
      </w:r>
    </w:p>
    <w:p w:rsidR="00714291" w:rsidRDefault="00714291" w:rsidP="00C40D91">
      <w:pPr>
        <w:ind w:left="851" w:hanging="851"/>
        <w:rPr>
          <w:rFonts w:eastAsiaTheme="minorHAnsi" w:cstheme="minorBidi"/>
          <w:szCs w:val="22"/>
          <w:lang w:eastAsia="en-US"/>
        </w:rPr>
      </w:pPr>
    </w:p>
    <w:p w:rsidR="00714291" w:rsidRDefault="00714291" w:rsidP="00C40D91">
      <w:pPr>
        <w:ind w:left="851" w:hanging="851"/>
        <w:rPr>
          <w:rFonts w:eastAsiaTheme="minorHAnsi" w:cstheme="minorBidi"/>
          <w:szCs w:val="22"/>
          <w:lang w:eastAsia="en-US"/>
        </w:rPr>
      </w:pPr>
    </w:p>
    <w:p w:rsidR="00714291" w:rsidRDefault="00714291" w:rsidP="00C40D91">
      <w:pPr>
        <w:ind w:left="851" w:hanging="851"/>
        <w:rPr>
          <w:rFonts w:eastAsiaTheme="minorHAnsi" w:cstheme="minorBidi"/>
          <w:szCs w:val="22"/>
          <w:lang w:eastAsia="en-US"/>
        </w:rPr>
      </w:pPr>
    </w:p>
    <w:p w:rsidR="00D24F5C" w:rsidRPr="00871B49" w:rsidRDefault="00B31E39" w:rsidP="001229F0">
      <w:pPr>
        <w:rPr>
          <w:rFonts w:eastAsiaTheme="minorHAnsi"/>
          <w:b/>
          <w:u w:val="single"/>
        </w:rPr>
      </w:pPr>
      <w:r>
        <w:rPr>
          <w:rFonts w:eastAsiaTheme="minorHAnsi"/>
        </w:rPr>
        <w:tab/>
      </w:r>
      <w:r>
        <w:rPr>
          <w:rFonts w:eastAsiaTheme="minorHAnsi"/>
        </w:rPr>
        <w:tab/>
      </w:r>
      <w:r w:rsidRPr="00871B49">
        <w:rPr>
          <w:rFonts w:eastAsiaTheme="minorHAnsi"/>
          <w:b/>
          <w:u w:val="single"/>
        </w:rPr>
        <w:t>Table 6: Major Capital scheme spend in 2018/19</w:t>
      </w:r>
      <w:r w:rsidR="00D24F5C" w:rsidRPr="00871B49">
        <w:rPr>
          <w:rFonts w:eastAsiaTheme="minorHAnsi"/>
          <w:b/>
          <w:u w:val="single"/>
        </w:rPr>
        <w:t xml:space="preserve"> </w:t>
      </w:r>
    </w:p>
    <w:p w:rsidR="00B31E39" w:rsidRDefault="00B31E39" w:rsidP="001229F0">
      <w:pPr>
        <w:rPr>
          <w:rFonts w:eastAsiaTheme="minorHAnsi"/>
        </w:rPr>
      </w:pPr>
    </w:p>
    <w:tbl>
      <w:tblPr>
        <w:tblW w:w="5812" w:type="dxa"/>
        <w:tblInd w:w="13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0"/>
        <w:gridCol w:w="992"/>
      </w:tblGrid>
      <w:tr w:rsidR="001229F0" w:rsidRPr="001229F0" w:rsidTr="00667B4B">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Scheme Name</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1229F0" w:rsidRPr="001229F0" w:rsidRDefault="001229F0" w:rsidP="001229F0">
            <w:pPr>
              <w:jc w:val="center"/>
              <w:rPr>
                <w:rFonts w:ascii="Calibri" w:hAnsi="Calibri"/>
                <w:color w:val="000000"/>
                <w:szCs w:val="22"/>
              </w:rPr>
            </w:pPr>
            <w:r w:rsidRPr="001229F0">
              <w:rPr>
                <w:rFonts w:ascii="Calibri" w:hAnsi="Calibri"/>
                <w:color w:val="000000"/>
                <w:szCs w:val="22"/>
              </w:rPr>
              <w:t>Spend</w:t>
            </w:r>
          </w:p>
          <w:p w:rsidR="001229F0" w:rsidRPr="001229F0" w:rsidRDefault="001229F0" w:rsidP="001229F0">
            <w:pPr>
              <w:jc w:val="center"/>
              <w:rPr>
                <w:rFonts w:ascii="Calibri" w:hAnsi="Calibri"/>
                <w:color w:val="000000"/>
                <w:szCs w:val="22"/>
              </w:rPr>
            </w:pPr>
            <w:r w:rsidRPr="001229F0">
              <w:rPr>
                <w:rFonts w:ascii="Calibri" w:hAnsi="Calibri"/>
                <w:color w:val="000000"/>
                <w:szCs w:val="22"/>
              </w:rPr>
              <w:lastRenderedPageBreak/>
              <w:t>£’000</w:t>
            </w:r>
          </w:p>
        </w:tc>
      </w:tr>
      <w:tr w:rsidR="001229F0" w:rsidRPr="001229F0" w:rsidTr="00667B4B">
        <w:trPr>
          <w:trHeight w:val="300"/>
        </w:trPr>
        <w:tc>
          <w:tcPr>
            <w:tcW w:w="4820" w:type="dxa"/>
            <w:tcBorders>
              <w:top w:val="single" w:sz="4" w:space="0" w:color="auto"/>
            </w:tcBorders>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lastRenderedPageBreak/>
              <w:t>Green Infrastructure:</w:t>
            </w:r>
          </w:p>
        </w:tc>
        <w:tc>
          <w:tcPr>
            <w:tcW w:w="992" w:type="dxa"/>
            <w:tcBorders>
              <w:top w:val="single" w:sz="4" w:space="0" w:color="auto"/>
            </w:tcBorders>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Central Parks Network</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53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Shruggs Wood</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32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Penwortham Holme Rec Centre drainage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128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Existing Built Assets:</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Farmyard Cottages roofing and cladding</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43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Worden Park toilet facilities improvements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175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Open Spaces and recreational areas:</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New Leisure Campus Facility</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175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Worden Park replacement conservatory</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134 </w:t>
            </w:r>
          </w:p>
        </w:tc>
      </w:tr>
      <w:tr w:rsidR="001229F0" w:rsidRPr="001229F0" w:rsidTr="00667B4B">
        <w:trPr>
          <w:trHeight w:val="300"/>
        </w:trPr>
        <w:tc>
          <w:tcPr>
            <w:tcW w:w="4820" w:type="dxa"/>
            <w:shd w:val="clear" w:color="auto" w:fill="auto"/>
            <w:noWrap/>
            <w:hideMark/>
          </w:tcPr>
          <w:p w:rsidR="001229F0" w:rsidRPr="001229F0" w:rsidRDefault="001229F0" w:rsidP="001229F0">
            <w:pPr>
              <w:jc w:val="right"/>
              <w:rPr>
                <w:rFonts w:ascii="Calibri" w:hAnsi="Calibri"/>
                <w:color w:val="000000"/>
                <w:szCs w:val="22"/>
              </w:rPr>
            </w:pPr>
          </w:p>
        </w:tc>
        <w:tc>
          <w:tcPr>
            <w:tcW w:w="992" w:type="dxa"/>
            <w:shd w:val="clear" w:color="auto" w:fill="auto"/>
            <w:noWrap/>
            <w:hideMark/>
          </w:tcPr>
          <w:p w:rsidR="001229F0" w:rsidRPr="001229F0" w:rsidRDefault="001229F0" w:rsidP="001229F0">
            <w:pPr>
              <w:rPr>
                <w:rFonts w:ascii="Times New Roman" w:hAnsi="Times New Roman"/>
                <w:sz w:val="20"/>
              </w:rPr>
            </w:pP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Master-planning and regeneration:</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City Deal - St Catherine's Park and Central Parks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46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Disabled Facilities Grants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621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Private Sector home improvement grants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63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Times New Roman" w:hAnsi="Times New Roman"/>
                <w:sz w:val="20"/>
              </w:rPr>
            </w:pPr>
          </w:p>
        </w:tc>
        <w:tc>
          <w:tcPr>
            <w:tcW w:w="992" w:type="dxa"/>
            <w:shd w:val="clear" w:color="auto" w:fill="auto"/>
            <w:noWrap/>
            <w:hideMark/>
          </w:tcPr>
          <w:p w:rsidR="001229F0" w:rsidRPr="001229F0" w:rsidRDefault="001229F0" w:rsidP="001229F0">
            <w:pPr>
              <w:rPr>
                <w:rFonts w:ascii="Times New Roman" w:hAnsi="Times New Roman"/>
                <w:sz w:val="20"/>
              </w:rPr>
            </w:pP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ICT systems and technology:</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Civic Centre audio visual equipment</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40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Civica EDRMS Data Retention Module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23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Moss Side Depot Networking</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21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SAN hosts replacement</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81 </w:t>
            </w:r>
          </w:p>
        </w:tc>
      </w:tr>
      <w:tr w:rsidR="001229F0" w:rsidRPr="001229F0" w:rsidTr="00667B4B">
        <w:trPr>
          <w:trHeight w:val="300"/>
        </w:trPr>
        <w:tc>
          <w:tcPr>
            <w:tcW w:w="4820" w:type="dxa"/>
            <w:shd w:val="clear" w:color="auto" w:fill="auto"/>
            <w:noWrap/>
            <w:hideMark/>
          </w:tcPr>
          <w:p w:rsidR="001229F0" w:rsidRPr="001229F0" w:rsidRDefault="00E33858" w:rsidP="00F439D1">
            <w:pPr>
              <w:ind w:left="318" w:hanging="1"/>
              <w:rPr>
                <w:rFonts w:ascii="Calibri" w:hAnsi="Calibri"/>
                <w:color w:val="000000"/>
                <w:szCs w:val="22"/>
              </w:rPr>
            </w:pPr>
            <w:r w:rsidRPr="001229F0">
              <w:rPr>
                <w:rFonts w:ascii="Calibri" w:hAnsi="Calibri"/>
                <w:color w:val="000000"/>
                <w:szCs w:val="22"/>
              </w:rPr>
              <w:t>Wi-Fi</w:t>
            </w:r>
            <w:r w:rsidR="001229F0" w:rsidRPr="001229F0">
              <w:rPr>
                <w:rFonts w:ascii="Calibri" w:hAnsi="Calibri"/>
                <w:color w:val="000000"/>
                <w:szCs w:val="22"/>
              </w:rPr>
              <w:t xml:space="preserve"> upgrade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35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Vehicles and plant replacement</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420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Corporate Buildings:</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Civic Centre Banqueting Suite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80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Moss Side Depot building works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54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Moss Side Depot server room works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35 </w:t>
            </w:r>
          </w:p>
        </w:tc>
      </w:tr>
    </w:tbl>
    <w:p w:rsidR="001229F0" w:rsidRPr="001229F0" w:rsidRDefault="001229F0" w:rsidP="00667B4B">
      <w:pPr>
        <w:spacing w:line="288" w:lineRule="auto"/>
        <w:ind w:left="1332"/>
        <w:rPr>
          <w:rFonts w:eastAsiaTheme="minorHAnsi" w:cstheme="minorBidi"/>
          <w:szCs w:val="22"/>
          <w:lang w:eastAsia="en-US"/>
        </w:rPr>
      </w:pPr>
    </w:p>
    <w:p w:rsidR="001229F0" w:rsidRDefault="001229F0" w:rsidP="001229F0">
      <w:pPr>
        <w:rPr>
          <w:rFonts w:eastAsiaTheme="minorHAnsi"/>
        </w:rPr>
      </w:pPr>
    </w:p>
    <w:p w:rsidR="00D23B41" w:rsidRPr="00D23B41" w:rsidRDefault="000F5DCD" w:rsidP="00D23B41">
      <w:pPr>
        <w:jc w:val="both"/>
        <w:rPr>
          <w:b/>
        </w:rPr>
      </w:pPr>
      <w:r>
        <w:rPr>
          <w:b/>
        </w:rPr>
        <w:t xml:space="preserve">8.  </w:t>
      </w:r>
      <w:r w:rsidR="00D23B41" w:rsidRPr="00D23B41">
        <w:rPr>
          <w:b/>
        </w:rPr>
        <w:t xml:space="preserve">USABLE RESERVES </w:t>
      </w:r>
    </w:p>
    <w:p w:rsidR="00D23B41" w:rsidRPr="00D23B41" w:rsidRDefault="00D23B41" w:rsidP="00D23B41">
      <w:pPr>
        <w:jc w:val="both"/>
        <w:rPr>
          <w:b/>
        </w:rPr>
      </w:pPr>
    </w:p>
    <w:p w:rsidR="00D23B41" w:rsidRPr="00D23B41" w:rsidRDefault="00D23B41" w:rsidP="00D23B41">
      <w:pPr>
        <w:jc w:val="both"/>
        <w:rPr>
          <w:b/>
        </w:rPr>
      </w:pPr>
      <w:r w:rsidRPr="00D23B41">
        <w:rPr>
          <w:b/>
        </w:rPr>
        <w:t>Revenue Reserves</w:t>
      </w:r>
    </w:p>
    <w:p w:rsidR="00D23B41" w:rsidRPr="00D23B41" w:rsidRDefault="00D23B41" w:rsidP="00D23B41">
      <w:pPr>
        <w:jc w:val="both"/>
        <w:rPr>
          <w:rFonts w:cs="Arial"/>
          <w:color w:val="FF0000"/>
        </w:rPr>
      </w:pPr>
    </w:p>
    <w:p w:rsidR="00D23B41" w:rsidRDefault="005E4D98" w:rsidP="000F5DCD">
      <w:pPr>
        <w:ind w:left="644" w:hanging="502"/>
        <w:jc w:val="both"/>
        <w:rPr>
          <w:rFonts w:cs="Arial"/>
          <w:szCs w:val="22"/>
          <w:lang w:eastAsia="en-US"/>
        </w:rPr>
      </w:pPr>
      <w:r>
        <w:rPr>
          <w:rFonts w:cs="Arial"/>
          <w:szCs w:val="22"/>
          <w:lang w:eastAsia="en-US"/>
        </w:rPr>
        <w:t xml:space="preserve">8.1 </w:t>
      </w:r>
      <w:r w:rsidR="00C523AF">
        <w:rPr>
          <w:rFonts w:cs="Arial"/>
          <w:szCs w:val="22"/>
          <w:lang w:eastAsia="en-US"/>
        </w:rPr>
        <w:t xml:space="preserve">  </w:t>
      </w:r>
      <w:r w:rsidRPr="004A5BEA">
        <w:rPr>
          <w:rFonts w:cs="Arial"/>
          <w:szCs w:val="22"/>
          <w:lang w:eastAsia="en-US"/>
        </w:rPr>
        <w:t>The</w:t>
      </w:r>
      <w:r w:rsidR="00E03E99" w:rsidRPr="004A5BEA">
        <w:rPr>
          <w:rFonts w:cs="Arial"/>
          <w:szCs w:val="22"/>
          <w:lang w:eastAsia="en-US"/>
        </w:rPr>
        <w:t xml:space="preserve"> Council’s accounting policies were approved by Governance Committee on 1</w:t>
      </w:r>
      <w:r w:rsidR="00C523AF" w:rsidRPr="004A5BEA">
        <w:rPr>
          <w:rFonts w:cs="Arial"/>
          <w:szCs w:val="22"/>
          <w:lang w:eastAsia="en-US"/>
        </w:rPr>
        <w:t>4</w:t>
      </w:r>
      <w:r w:rsidR="00E03E99" w:rsidRPr="004A5BEA">
        <w:rPr>
          <w:rFonts w:cs="Arial"/>
          <w:szCs w:val="22"/>
          <w:vertAlign w:val="superscript"/>
          <w:lang w:eastAsia="en-US"/>
        </w:rPr>
        <w:t>th</w:t>
      </w:r>
      <w:r w:rsidR="00E03E99" w:rsidRPr="004A5BEA">
        <w:rPr>
          <w:rFonts w:cs="Arial"/>
          <w:szCs w:val="22"/>
          <w:lang w:eastAsia="en-US"/>
        </w:rPr>
        <w:t xml:space="preserve"> </w:t>
      </w:r>
      <w:r w:rsidR="00C523AF" w:rsidRPr="004A5BEA">
        <w:rPr>
          <w:rFonts w:cs="Arial"/>
          <w:szCs w:val="22"/>
          <w:lang w:eastAsia="en-US"/>
        </w:rPr>
        <w:t xml:space="preserve">March </w:t>
      </w:r>
      <w:r w:rsidR="00E03E99" w:rsidRPr="004A5BEA">
        <w:rPr>
          <w:rFonts w:cs="Arial"/>
          <w:szCs w:val="22"/>
          <w:lang w:eastAsia="en-US"/>
        </w:rPr>
        <w:t>201</w:t>
      </w:r>
      <w:r w:rsidR="00C523AF" w:rsidRPr="004A5BEA">
        <w:rPr>
          <w:rFonts w:cs="Arial"/>
          <w:szCs w:val="22"/>
          <w:lang w:eastAsia="en-US"/>
        </w:rPr>
        <w:t>9</w:t>
      </w:r>
      <w:r w:rsidR="00E03E99" w:rsidRPr="004A5BEA">
        <w:rPr>
          <w:rFonts w:cs="Arial"/>
          <w:szCs w:val="22"/>
          <w:lang w:eastAsia="en-US"/>
        </w:rPr>
        <w:t xml:space="preserve">.  </w:t>
      </w:r>
      <w:r w:rsidR="00D23B41" w:rsidRPr="004A5BEA">
        <w:rPr>
          <w:rFonts w:cs="Arial"/>
          <w:szCs w:val="22"/>
          <w:lang w:eastAsia="en-US"/>
        </w:rPr>
        <w:t xml:space="preserve">The </w:t>
      </w:r>
      <w:r w:rsidR="00E03E99" w:rsidRPr="004A5BEA">
        <w:rPr>
          <w:rFonts w:cs="Arial"/>
          <w:szCs w:val="22"/>
          <w:lang w:eastAsia="en-US"/>
        </w:rPr>
        <w:t xml:space="preserve">approved </w:t>
      </w:r>
      <w:r w:rsidR="00D23B41" w:rsidRPr="004A5BEA">
        <w:rPr>
          <w:rFonts w:cs="Arial"/>
          <w:szCs w:val="22"/>
          <w:lang w:eastAsia="en-US"/>
        </w:rPr>
        <w:t xml:space="preserve">accounting policy on reserves </w:t>
      </w:r>
      <w:r w:rsidR="00C523AF" w:rsidRPr="004A5BEA">
        <w:rPr>
          <w:rFonts w:cs="Arial"/>
          <w:szCs w:val="22"/>
          <w:lang w:eastAsia="en-US"/>
        </w:rPr>
        <w:t xml:space="preserve">is </w:t>
      </w:r>
      <w:r w:rsidR="00D23B41" w:rsidRPr="004A5BEA">
        <w:rPr>
          <w:rFonts w:cs="Arial"/>
          <w:szCs w:val="22"/>
          <w:lang w:eastAsia="en-US"/>
        </w:rPr>
        <w:t xml:space="preserve">included in the accounting policies contained in the </w:t>
      </w:r>
      <w:r w:rsidR="004A5BEA">
        <w:rPr>
          <w:rFonts w:cs="Arial"/>
          <w:szCs w:val="22"/>
          <w:lang w:eastAsia="en-US"/>
        </w:rPr>
        <w:t xml:space="preserve">draft </w:t>
      </w:r>
      <w:r w:rsidR="00D23B41" w:rsidRPr="004A5BEA">
        <w:rPr>
          <w:rFonts w:cs="Arial"/>
          <w:szCs w:val="22"/>
          <w:lang w:eastAsia="en-US"/>
        </w:rPr>
        <w:t xml:space="preserve">Statement of Accounts which </w:t>
      </w:r>
      <w:r w:rsidR="00C523AF" w:rsidRPr="004A5BEA">
        <w:rPr>
          <w:rFonts w:cs="Arial"/>
          <w:szCs w:val="22"/>
          <w:lang w:eastAsia="en-US"/>
        </w:rPr>
        <w:t xml:space="preserve">was </w:t>
      </w:r>
      <w:r w:rsidR="00D23B41" w:rsidRPr="004A5BEA">
        <w:rPr>
          <w:rFonts w:cs="Arial"/>
          <w:szCs w:val="22"/>
          <w:lang w:eastAsia="en-US"/>
        </w:rPr>
        <w:t xml:space="preserve">approved by the Chief Finance Officer (CFO) </w:t>
      </w:r>
      <w:r w:rsidR="004A5BEA" w:rsidRPr="004A5BEA">
        <w:rPr>
          <w:rFonts w:cs="Arial"/>
          <w:szCs w:val="22"/>
          <w:lang w:eastAsia="en-US"/>
        </w:rPr>
        <w:t>by the statutory deadline of 31</w:t>
      </w:r>
      <w:r w:rsidR="004A5BEA" w:rsidRPr="004A5BEA">
        <w:rPr>
          <w:rFonts w:cs="Arial"/>
          <w:szCs w:val="22"/>
          <w:vertAlign w:val="superscript"/>
          <w:lang w:eastAsia="en-US"/>
        </w:rPr>
        <w:t>st</w:t>
      </w:r>
      <w:r w:rsidR="004A5BEA" w:rsidRPr="004A5BEA">
        <w:rPr>
          <w:rFonts w:cs="Arial"/>
          <w:szCs w:val="22"/>
          <w:lang w:eastAsia="en-US"/>
        </w:rPr>
        <w:t xml:space="preserve"> M</w:t>
      </w:r>
      <w:r w:rsidR="00663667" w:rsidRPr="004A5BEA">
        <w:rPr>
          <w:rFonts w:cs="Arial"/>
          <w:szCs w:val="22"/>
          <w:lang w:eastAsia="en-US"/>
        </w:rPr>
        <w:t>ay 201</w:t>
      </w:r>
      <w:r w:rsidR="00C523AF" w:rsidRPr="004A5BEA">
        <w:rPr>
          <w:rFonts w:cs="Arial"/>
          <w:szCs w:val="22"/>
          <w:lang w:eastAsia="en-US"/>
        </w:rPr>
        <w:t>9</w:t>
      </w:r>
      <w:r w:rsidR="00D23B41" w:rsidRPr="004A5BEA">
        <w:rPr>
          <w:rFonts w:cs="Arial"/>
          <w:szCs w:val="22"/>
          <w:lang w:eastAsia="en-US"/>
        </w:rPr>
        <w:t xml:space="preserve"> and post external audit inspection </w:t>
      </w:r>
      <w:r w:rsidR="004A5BEA" w:rsidRPr="004A5BEA">
        <w:rPr>
          <w:rFonts w:cs="Arial"/>
          <w:szCs w:val="22"/>
          <w:lang w:eastAsia="en-US"/>
        </w:rPr>
        <w:t xml:space="preserve">to </w:t>
      </w:r>
      <w:r w:rsidR="00D23B41" w:rsidRPr="004A5BEA">
        <w:rPr>
          <w:rFonts w:cs="Arial"/>
          <w:szCs w:val="22"/>
          <w:lang w:eastAsia="en-US"/>
        </w:rPr>
        <w:t xml:space="preserve">the Governance Committee </w:t>
      </w:r>
      <w:r w:rsidR="004A5BEA">
        <w:rPr>
          <w:rFonts w:cs="Arial"/>
          <w:szCs w:val="22"/>
          <w:lang w:eastAsia="en-US"/>
        </w:rPr>
        <w:t>on 25</w:t>
      </w:r>
      <w:r w:rsidR="004A5BEA" w:rsidRPr="004A5BEA">
        <w:rPr>
          <w:rFonts w:cs="Arial"/>
          <w:szCs w:val="22"/>
          <w:vertAlign w:val="superscript"/>
          <w:lang w:eastAsia="en-US"/>
        </w:rPr>
        <w:t>th</w:t>
      </w:r>
      <w:r w:rsidR="004A5BEA">
        <w:rPr>
          <w:rFonts w:cs="Arial"/>
          <w:szCs w:val="22"/>
          <w:lang w:eastAsia="en-US"/>
        </w:rPr>
        <w:t xml:space="preserve"> </w:t>
      </w:r>
      <w:r w:rsidR="00663667" w:rsidRPr="004A5BEA">
        <w:rPr>
          <w:rFonts w:cs="Arial"/>
          <w:szCs w:val="22"/>
          <w:lang w:eastAsia="en-US"/>
        </w:rPr>
        <w:t>July 201</w:t>
      </w:r>
      <w:r w:rsidR="004A5BEA" w:rsidRPr="004A5BEA">
        <w:rPr>
          <w:rFonts w:cs="Arial"/>
          <w:szCs w:val="22"/>
          <w:lang w:eastAsia="en-US"/>
        </w:rPr>
        <w:t>9</w:t>
      </w:r>
      <w:r w:rsidR="00663667" w:rsidRPr="004A5BEA">
        <w:rPr>
          <w:rFonts w:cs="Arial"/>
          <w:szCs w:val="22"/>
          <w:lang w:eastAsia="en-US"/>
        </w:rPr>
        <w:t>.</w:t>
      </w:r>
    </w:p>
    <w:p w:rsidR="00983049" w:rsidRDefault="00983049" w:rsidP="000F5DCD">
      <w:pPr>
        <w:ind w:left="644" w:hanging="502"/>
        <w:jc w:val="both"/>
        <w:rPr>
          <w:rFonts w:cs="Arial"/>
          <w:szCs w:val="22"/>
          <w:lang w:eastAsia="en-US"/>
        </w:rPr>
      </w:pPr>
    </w:p>
    <w:p w:rsidR="00983049" w:rsidRPr="004A5BEA" w:rsidRDefault="00983049" w:rsidP="000F5DCD">
      <w:pPr>
        <w:ind w:left="644" w:hanging="502"/>
        <w:jc w:val="both"/>
        <w:rPr>
          <w:rFonts w:cs="Arial"/>
          <w:szCs w:val="22"/>
          <w:lang w:eastAsia="en-US"/>
        </w:rPr>
      </w:pPr>
      <w:r>
        <w:rPr>
          <w:rFonts w:cs="Arial"/>
          <w:szCs w:val="22"/>
          <w:lang w:eastAsia="en-US"/>
        </w:rPr>
        <w:t>8.2</w:t>
      </w:r>
      <w:r>
        <w:rPr>
          <w:rFonts w:cs="Arial"/>
          <w:szCs w:val="22"/>
          <w:lang w:eastAsia="en-US"/>
        </w:rPr>
        <w:tab/>
      </w:r>
      <w:r>
        <w:rPr>
          <w:szCs w:val="22"/>
        </w:rPr>
        <w:t xml:space="preserve">In July 2018, Council approved to transfer the 2017/18 underspend against the 2017/18 original budget of £0.770m from General </w:t>
      </w:r>
      <w:r w:rsidRPr="00AA0B01">
        <w:rPr>
          <w:szCs w:val="22"/>
        </w:rPr>
        <w:t>Balances to the Borough Investment earmarked reserve. Total reserves for the council increased by £0.531m to £19.519m by the end of the financial year of which £4.680m is held in a general reserve</w:t>
      </w:r>
    </w:p>
    <w:p w:rsidR="00D23B41" w:rsidRPr="006D6606" w:rsidRDefault="00D23B41" w:rsidP="00D23B41">
      <w:pPr>
        <w:jc w:val="both"/>
        <w:rPr>
          <w:rFonts w:cs="Arial"/>
          <w:color w:val="FF0000"/>
          <w:sz w:val="24"/>
          <w:szCs w:val="22"/>
          <w:lang w:eastAsia="en-US"/>
        </w:rPr>
      </w:pPr>
    </w:p>
    <w:p w:rsidR="00D23B41" w:rsidRPr="00EE133B" w:rsidRDefault="0015418C" w:rsidP="00595826">
      <w:pPr>
        <w:tabs>
          <w:tab w:val="left" w:pos="709"/>
        </w:tabs>
        <w:spacing w:after="200" w:line="276" w:lineRule="auto"/>
        <w:ind w:left="709" w:hanging="567"/>
        <w:contextualSpacing/>
        <w:jc w:val="both"/>
        <w:rPr>
          <w:rFonts w:eastAsia="Calibri" w:cs="Arial"/>
          <w:szCs w:val="22"/>
          <w:lang w:eastAsia="en-US"/>
        </w:rPr>
      </w:pPr>
      <w:r w:rsidRPr="00EE133B">
        <w:rPr>
          <w:rFonts w:cs="Arial"/>
          <w:szCs w:val="22"/>
          <w:lang w:eastAsia="en-US"/>
        </w:rPr>
        <w:t xml:space="preserve">8.3  </w:t>
      </w:r>
      <w:r w:rsidR="00595826" w:rsidRPr="00EE133B">
        <w:rPr>
          <w:rFonts w:cs="Arial"/>
          <w:szCs w:val="22"/>
          <w:lang w:eastAsia="en-US"/>
        </w:rPr>
        <w:t xml:space="preserve"> </w:t>
      </w:r>
      <w:r w:rsidR="00D23B41" w:rsidRPr="00EE133B">
        <w:rPr>
          <w:rFonts w:cs="Arial"/>
          <w:szCs w:val="22"/>
          <w:lang w:eastAsia="en-US"/>
        </w:rPr>
        <w:t>The following table shows the Council’s overall level of revenue reserves as at 31</w:t>
      </w:r>
      <w:r w:rsidR="00D23B41" w:rsidRPr="00EE133B">
        <w:rPr>
          <w:rFonts w:cs="Arial"/>
          <w:szCs w:val="22"/>
          <w:vertAlign w:val="superscript"/>
          <w:lang w:eastAsia="en-US"/>
        </w:rPr>
        <w:t>st</w:t>
      </w:r>
      <w:r w:rsidR="00D23B41" w:rsidRPr="00EE133B">
        <w:rPr>
          <w:rFonts w:cs="Arial"/>
          <w:szCs w:val="22"/>
          <w:lang w:eastAsia="en-US"/>
        </w:rPr>
        <w:t xml:space="preserve"> March</w:t>
      </w:r>
      <w:r w:rsidRPr="00EE133B">
        <w:rPr>
          <w:rFonts w:cs="Arial"/>
          <w:szCs w:val="22"/>
          <w:lang w:eastAsia="en-US"/>
        </w:rPr>
        <w:t xml:space="preserve"> </w:t>
      </w:r>
      <w:r w:rsidR="00D23B41" w:rsidRPr="00EE133B">
        <w:rPr>
          <w:rFonts w:cs="Arial"/>
          <w:szCs w:val="22"/>
          <w:lang w:eastAsia="en-US"/>
        </w:rPr>
        <w:t>201</w:t>
      </w:r>
      <w:r w:rsidR="00EE133B" w:rsidRPr="00EE133B">
        <w:rPr>
          <w:rFonts w:cs="Arial"/>
          <w:szCs w:val="22"/>
          <w:lang w:eastAsia="en-US"/>
        </w:rPr>
        <w:t>8</w:t>
      </w:r>
      <w:r w:rsidR="00D23B41" w:rsidRPr="00EE133B">
        <w:rPr>
          <w:rFonts w:cs="Arial"/>
          <w:szCs w:val="22"/>
          <w:lang w:eastAsia="en-US"/>
        </w:rPr>
        <w:t xml:space="preserve"> and 31</w:t>
      </w:r>
      <w:r w:rsidR="00D23B41" w:rsidRPr="00EE133B">
        <w:rPr>
          <w:rFonts w:cs="Arial"/>
          <w:szCs w:val="22"/>
          <w:vertAlign w:val="superscript"/>
          <w:lang w:eastAsia="en-US"/>
        </w:rPr>
        <w:t>st</w:t>
      </w:r>
      <w:r w:rsidR="00D23B41" w:rsidRPr="00EE133B">
        <w:rPr>
          <w:rFonts w:cs="Arial"/>
          <w:szCs w:val="22"/>
          <w:lang w:eastAsia="en-US"/>
        </w:rPr>
        <w:t xml:space="preserve"> March 201</w:t>
      </w:r>
      <w:r w:rsidR="00EE133B" w:rsidRPr="00EE133B">
        <w:rPr>
          <w:rFonts w:cs="Arial"/>
          <w:szCs w:val="22"/>
          <w:lang w:eastAsia="en-US"/>
        </w:rPr>
        <w:t>9.</w:t>
      </w:r>
    </w:p>
    <w:p w:rsidR="000A0DC2" w:rsidRPr="006D6606" w:rsidRDefault="000A0DC2" w:rsidP="000A0DC2">
      <w:pPr>
        <w:spacing w:after="200" w:line="276" w:lineRule="auto"/>
        <w:ind w:left="360"/>
        <w:contextualSpacing/>
        <w:jc w:val="both"/>
        <w:rPr>
          <w:rFonts w:eastAsia="Calibri" w:cs="Arial"/>
          <w:color w:val="FF0000"/>
          <w:szCs w:val="22"/>
          <w:lang w:eastAsia="en-US"/>
        </w:rPr>
      </w:pPr>
    </w:p>
    <w:tbl>
      <w:tblPr>
        <w:tblStyle w:val="TableGrid1"/>
        <w:tblW w:w="8796"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3961"/>
        <w:gridCol w:w="1567"/>
        <w:gridCol w:w="1567"/>
        <w:gridCol w:w="1701"/>
      </w:tblGrid>
      <w:tr w:rsidR="00480C07" w:rsidRPr="006D6606" w:rsidTr="00480C07">
        <w:trPr>
          <w:trHeight w:val="693"/>
        </w:trPr>
        <w:tc>
          <w:tcPr>
            <w:tcW w:w="3961" w:type="dxa"/>
            <w:shd w:val="clear" w:color="auto" w:fill="D9D9D9" w:themeFill="background1" w:themeFillShade="D9"/>
            <w:vAlign w:val="center"/>
          </w:tcPr>
          <w:p w:rsidR="00480C07" w:rsidRPr="00480C07" w:rsidRDefault="00480C07" w:rsidP="00480C07">
            <w:pPr>
              <w:jc w:val="both"/>
              <w:rPr>
                <w:rFonts w:cs="Arial"/>
                <w:b/>
              </w:rPr>
            </w:pPr>
            <w:r w:rsidRPr="00480C07">
              <w:rPr>
                <w:rFonts w:cs="Arial"/>
                <w:b/>
              </w:rPr>
              <w:t>REVENUE RESERVES</w:t>
            </w:r>
          </w:p>
        </w:tc>
        <w:tc>
          <w:tcPr>
            <w:tcW w:w="1567" w:type="dxa"/>
            <w:shd w:val="clear" w:color="auto" w:fill="D9D9D9" w:themeFill="background1" w:themeFillShade="D9"/>
            <w:vAlign w:val="center"/>
          </w:tcPr>
          <w:p w:rsidR="00480C07" w:rsidRPr="00480C07" w:rsidRDefault="00480C07" w:rsidP="00480C07">
            <w:pPr>
              <w:jc w:val="center"/>
              <w:rPr>
                <w:rFonts w:cs="Arial"/>
                <w:b/>
              </w:rPr>
            </w:pPr>
            <w:r w:rsidRPr="00480C07">
              <w:rPr>
                <w:rFonts w:cs="Arial"/>
                <w:b/>
              </w:rPr>
              <w:t>31/03/18</w:t>
            </w:r>
          </w:p>
          <w:p w:rsidR="00480C07" w:rsidRPr="00480C07" w:rsidRDefault="00480C07" w:rsidP="00480C07">
            <w:pPr>
              <w:jc w:val="center"/>
              <w:rPr>
                <w:rFonts w:cs="Arial"/>
                <w:b/>
              </w:rPr>
            </w:pPr>
            <w:r w:rsidRPr="00480C07">
              <w:rPr>
                <w:rFonts w:cs="Arial"/>
                <w:b/>
              </w:rPr>
              <w:t>£000</w:t>
            </w:r>
          </w:p>
        </w:tc>
        <w:tc>
          <w:tcPr>
            <w:tcW w:w="1567" w:type="dxa"/>
            <w:shd w:val="clear" w:color="auto" w:fill="D9D9D9" w:themeFill="background1" w:themeFillShade="D9"/>
            <w:vAlign w:val="center"/>
          </w:tcPr>
          <w:p w:rsidR="00480C07" w:rsidRPr="00480C07" w:rsidRDefault="00480C07" w:rsidP="00480C07">
            <w:pPr>
              <w:jc w:val="center"/>
              <w:rPr>
                <w:rFonts w:cs="Arial"/>
                <w:b/>
              </w:rPr>
            </w:pPr>
            <w:r w:rsidRPr="00480C07">
              <w:rPr>
                <w:rFonts w:cs="Arial"/>
                <w:b/>
              </w:rPr>
              <w:t>31/03/19</w:t>
            </w:r>
          </w:p>
          <w:p w:rsidR="00480C07" w:rsidRPr="00480C07" w:rsidRDefault="00480C07" w:rsidP="00480C07">
            <w:pPr>
              <w:jc w:val="center"/>
              <w:rPr>
                <w:rFonts w:cs="Arial"/>
                <w:b/>
              </w:rPr>
            </w:pPr>
            <w:r w:rsidRPr="00480C07">
              <w:rPr>
                <w:rFonts w:cs="Arial"/>
                <w:b/>
              </w:rPr>
              <w:t>£000</w:t>
            </w:r>
          </w:p>
        </w:tc>
        <w:tc>
          <w:tcPr>
            <w:tcW w:w="1701" w:type="dxa"/>
            <w:shd w:val="clear" w:color="auto" w:fill="D9D9D9" w:themeFill="background1" w:themeFillShade="D9"/>
            <w:vAlign w:val="center"/>
          </w:tcPr>
          <w:p w:rsidR="00480C07" w:rsidRPr="00480C07" w:rsidRDefault="00480C07" w:rsidP="00480C07">
            <w:pPr>
              <w:jc w:val="center"/>
              <w:rPr>
                <w:rFonts w:cs="Arial"/>
                <w:b/>
              </w:rPr>
            </w:pPr>
            <w:r w:rsidRPr="00480C07">
              <w:rPr>
                <w:rFonts w:cs="Arial"/>
                <w:b/>
              </w:rPr>
              <w:t>Movement</w:t>
            </w:r>
          </w:p>
          <w:p w:rsidR="00480C07" w:rsidRPr="00480C07" w:rsidRDefault="00480C07" w:rsidP="00480C07">
            <w:pPr>
              <w:jc w:val="center"/>
              <w:rPr>
                <w:rFonts w:cs="Arial"/>
                <w:b/>
              </w:rPr>
            </w:pPr>
            <w:r w:rsidRPr="00480C07">
              <w:rPr>
                <w:rFonts w:cs="Arial"/>
                <w:b/>
              </w:rPr>
              <w:t>£000</w:t>
            </w:r>
          </w:p>
        </w:tc>
      </w:tr>
      <w:tr w:rsidR="00480C07" w:rsidRPr="006D6606" w:rsidTr="00480C07">
        <w:trPr>
          <w:trHeight w:val="547"/>
        </w:trPr>
        <w:tc>
          <w:tcPr>
            <w:tcW w:w="3961" w:type="dxa"/>
            <w:vAlign w:val="center"/>
          </w:tcPr>
          <w:p w:rsidR="00480C07" w:rsidRPr="00480C07" w:rsidRDefault="00480C07" w:rsidP="00480C07">
            <w:pPr>
              <w:jc w:val="both"/>
              <w:rPr>
                <w:rFonts w:cs="Arial"/>
              </w:rPr>
            </w:pPr>
            <w:r w:rsidRPr="00480C07">
              <w:rPr>
                <w:rFonts w:cs="Arial"/>
              </w:rPr>
              <w:t>General Fund Balance</w:t>
            </w:r>
          </w:p>
        </w:tc>
        <w:tc>
          <w:tcPr>
            <w:tcW w:w="1567" w:type="dxa"/>
            <w:vAlign w:val="center"/>
          </w:tcPr>
          <w:p w:rsidR="00480C07" w:rsidRPr="00480C07" w:rsidRDefault="00480C07" w:rsidP="00480C07">
            <w:pPr>
              <w:ind w:right="427"/>
              <w:jc w:val="right"/>
              <w:rPr>
                <w:rFonts w:cs="Arial"/>
              </w:rPr>
            </w:pPr>
            <w:r w:rsidRPr="00480C07">
              <w:rPr>
                <w:rFonts w:cs="Arial"/>
              </w:rPr>
              <w:t>5,357</w:t>
            </w:r>
          </w:p>
        </w:tc>
        <w:tc>
          <w:tcPr>
            <w:tcW w:w="1567" w:type="dxa"/>
            <w:vAlign w:val="center"/>
          </w:tcPr>
          <w:p w:rsidR="00480C07" w:rsidRPr="00480C07" w:rsidRDefault="00480C07" w:rsidP="00480C07">
            <w:pPr>
              <w:ind w:right="427"/>
              <w:jc w:val="right"/>
              <w:rPr>
                <w:rFonts w:cs="Arial"/>
              </w:rPr>
            </w:pPr>
            <w:r w:rsidRPr="00480C07">
              <w:rPr>
                <w:rFonts w:cs="Arial"/>
              </w:rPr>
              <w:t>4,680</w:t>
            </w:r>
          </w:p>
        </w:tc>
        <w:tc>
          <w:tcPr>
            <w:tcW w:w="1701" w:type="dxa"/>
            <w:vAlign w:val="center"/>
          </w:tcPr>
          <w:p w:rsidR="00480C07" w:rsidRPr="00480C07" w:rsidRDefault="00480C07" w:rsidP="00480C07">
            <w:pPr>
              <w:ind w:right="427"/>
              <w:jc w:val="right"/>
              <w:rPr>
                <w:rFonts w:cs="Arial"/>
              </w:rPr>
            </w:pPr>
            <w:r>
              <w:rPr>
                <w:rFonts w:cs="Arial"/>
              </w:rPr>
              <w:t>(</w:t>
            </w:r>
            <w:r w:rsidRPr="00480C07">
              <w:rPr>
                <w:rFonts w:cs="Arial"/>
              </w:rPr>
              <w:t>677</w:t>
            </w:r>
            <w:r>
              <w:rPr>
                <w:rFonts w:cs="Arial"/>
              </w:rPr>
              <w:t>)</w:t>
            </w:r>
          </w:p>
        </w:tc>
      </w:tr>
      <w:tr w:rsidR="00480C07" w:rsidRPr="006D6606" w:rsidTr="00480C07">
        <w:trPr>
          <w:trHeight w:val="600"/>
        </w:trPr>
        <w:tc>
          <w:tcPr>
            <w:tcW w:w="3961" w:type="dxa"/>
            <w:vAlign w:val="center"/>
          </w:tcPr>
          <w:p w:rsidR="00480C07" w:rsidRPr="00480C07" w:rsidRDefault="00480C07" w:rsidP="00480C07">
            <w:pPr>
              <w:jc w:val="both"/>
              <w:rPr>
                <w:rFonts w:cs="Arial"/>
              </w:rPr>
            </w:pPr>
            <w:r w:rsidRPr="00480C07">
              <w:rPr>
                <w:rFonts w:cs="Arial"/>
              </w:rPr>
              <w:t>Earmarked and Other Reserves</w:t>
            </w:r>
          </w:p>
        </w:tc>
        <w:tc>
          <w:tcPr>
            <w:tcW w:w="1567" w:type="dxa"/>
            <w:vAlign w:val="center"/>
          </w:tcPr>
          <w:p w:rsidR="00480C07" w:rsidRPr="00480C07" w:rsidRDefault="00480C07" w:rsidP="00480C07">
            <w:pPr>
              <w:ind w:right="427"/>
              <w:jc w:val="right"/>
              <w:rPr>
                <w:rFonts w:cs="Arial"/>
              </w:rPr>
            </w:pPr>
            <w:r w:rsidRPr="00480C07">
              <w:rPr>
                <w:rFonts w:cs="Arial"/>
              </w:rPr>
              <w:t>13,631</w:t>
            </w:r>
          </w:p>
        </w:tc>
        <w:tc>
          <w:tcPr>
            <w:tcW w:w="1567" w:type="dxa"/>
            <w:vAlign w:val="center"/>
          </w:tcPr>
          <w:p w:rsidR="00480C07" w:rsidRPr="006D6606" w:rsidRDefault="00480C07" w:rsidP="00480C07">
            <w:pPr>
              <w:ind w:right="427"/>
              <w:jc w:val="right"/>
              <w:rPr>
                <w:rFonts w:cs="Arial"/>
                <w:color w:val="FF0000"/>
              </w:rPr>
            </w:pPr>
            <w:r w:rsidRPr="00480C07">
              <w:rPr>
                <w:rFonts w:cs="Arial"/>
              </w:rPr>
              <w:t>14,839</w:t>
            </w:r>
          </w:p>
        </w:tc>
        <w:tc>
          <w:tcPr>
            <w:tcW w:w="1701" w:type="dxa"/>
            <w:vAlign w:val="center"/>
          </w:tcPr>
          <w:p w:rsidR="00480C07" w:rsidRPr="006D6606" w:rsidRDefault="00480C07" w:rsidP="00480C07">
            <w:pPr>
              <w:ind w:right="427"/>
              <w:jc w:val="right"/>
              <w:rPr>
                <w:rFonts w:cs="Arial"/>
                <w:color w:val="FF0000"/>
              </w:rPr>
            </w:pPr>
            <w:r w:rsidRPr="00480C07">
              <w:rPr>
                <w:rFonts w:cs="Arial"/>
              </w:rPr>
              <w:t>1,208</w:t>
            </w:r>
          </w:p>
        </w:tc>
      </w:tr>
      <w:tr w:rsidR="00480C07" w:rsidRPr="006D6606" w:rsidTr="00480C07">
        <w:trPr>
          <w:trHeight w:val="557"/>
        </w:trPr>
        <w:tc>
          <w:tcPr>
            <w:tcW w:w="3961" w:type="dxa"/>
            <w:shd w:val="clear" w:color="auto" w:fill="D9D9D9" w:themeFill="background1" w:themeFillShade="D9"/>
            <w:vAlign w:val="center"/>
          </w:tcPr>
          <w:p w:rsidR="00480C07" w:rsidRPr="00480C07" w:rsidRDefault="00480C07" w:rsidP="00480C07">
            <w:pPr>
              <w:jc w:val="both"/>
              <w:rPr>
                <w:rFonts w:cs="Arial"/>
                <w:b/>
              </w:rPr>
            </w:pPr>
            <w:r w:rsidRPr="00480C07">
              <w:rPr>
                <w:rFonts w:cs="Arial"/>
                <w:b/>
              </w:rPr>
              <w:t>Total General Fund Reserves</w:t>
            </w:r>
          </w:p>
        </w:tc>
        <w:tc>
          <w:tcPr>
            <w:tcW w:w="1567" w:type="dxa"/>
            <w:shd w:val="clear" w:color="auto" w:fill="D9D9D9" w:themeFill="background1" w:themeFillShade="D9"/>
            <w:vAlign w:val="center"/>
          </w:tcPr>
          <w:p w:rsidR="00480C07" w:rsidRPr="00480C07" w:rsidRDefault="00480C07" w:rsidP="00480C07">
            <w:pPr>
              <w:ind w:right="427"/>
              <w:jc w:val="right"/>
              <w:rPr>
                <w:rFonts w:cs="Arial"/>
                <w:b/>
              </w:rPr>
            </w:pPr>
            <w:r w:rsidRPr="00480C07">
              <w:rPr>
                <w:rFonts w:cs="Arial"/>
                <w:b/>
              </w:rPr>
              <w:t>18,988</w:t>
            </w:r>
          </w:p>
        </w:tc>
        <w:tc>
          <w:tcPr>
            <w:tcW w:w="1567" w:type="dxa"/>
            <w:shd w:val="clear" w:color="auto" w:fill="D9D9D9" w:themeFill="background1" w:themeFillShade="D9"/>
            <w:vAlign w:val="center"/>
          </w:tcPr>
          <w:p w:rsidR="00480C07" w:rsidRPr="00480C07" w:rsidRDefault="00480C07" w:rsidP="00480C07">
            <w:pPr>
              <w:ind w:right="427"/>
              <w:jc w:val="right"/>
              <w:rPr>
                <w:rFonts w:cs="Arial"/>
                <w:b/>
              </w:rPr>
            </w:pPr>
            <w:r w:rsidRPr="00480C07">
              <w:rPr>
                <w:rFonts w:cs="Arial"/>
                <w:b/>
              </w:rPr>
              <w:t>19,519</w:t>
            </w:r>
          </w:p>
        </w:tc>
        <w:tc>
          <w:tcPr>
            <w:tcW w:w="1701" w:type="dxa"/>
            <w:shd w:val="clear" w:color="auto" w:fill="D9D9D9" w:themeFill="background1" w:themeFillShade="D9"/>
            <w:vAlign w:val="center"/>
          </w:tcPr>
          <w:p w:rsidR="00480C07" w:rsidRPr="00480C07" w:rsidRDefault="00480C07" w:rsidP="00480C07">
            <w:pPr>
              <w:ind w:right="427"/>
              <w:jc w:val="right"/>
              <w:rPr>
                <w:rFonts w:cs="Arial"/>
                <w:b/>
              </w:rPr>
            </w:pPr>
            <w:r w:rsidRPr="00480C07">
              <w:rPr>
                <w:rFonts w:cs="Arial"/>
                <w:b/>
              </w:rPr>
              <w:t>531</w:t>
            </w:r>
          </w:p>
        </w:tc>
      </w:tr>
    </w:tbl>
    <w:p w:rsidR="00D23B41" w:rsidRPr="00E42154" w:rsidRDefault="00D23B41" w:rsidP="00D23B41">
      <w:pPr>
        <w:spacing w:after="200" w:line="276" w:lineRule="auto"/>
        <w:ind w:left="720"/>
        <w:contextualSpacing/>
        <w:jc w:val="both"/>
        <w:rPr>
          <w:rFonts w:eastAsia="Calibri" w:cs="Arial"/>
          <w:szCs w:val="22"/>
          <w:lang w:eastAsia="en-US"/>
        </w:rPr>
      </w:pPr>
    </w:p>
    <w:p w:rsidR="0042676D" w:rsidRPr="00E42154" w:rsidRDefault="0042676D" w:rsidP="0015418C">
      <w:pPr>
        <w:ind w:left="720"/>
        <w:jc w:val="both"/>
        <w:rPr>
          <w:rFonts w:cs="Arial"/>
          <w:szCs w:val="22"/>
          <w:lang w:eastAsia="en-US"/>
        </w:rPr>
      </w:pPr>
    </w:p>
    <w:p w:rsidR="00791C4E" w:rsidRPr="00E42154" w:rsidRDefault="003B3C22" w:rsidP="001B5350">
      <w:pPr>
        <w:ind w:left="567" w:hanging="567"/>
        <w:jc w:val="both"/>
        <w:rPr>
          <w:rFonts w:cs="Arial"/>
          <w:szCs w:val="22"/>
          <w:lang w:eastAsia="en-US"/>
        </w:rPr>
      </w:pPr>
      <w:r w:rsidRPr="00E42154">
        <w:rPr>
          <w:rFonts w:cs="Arial"/>
          <w:szCs w:val="22"/>
          <w:lang w:eastAsia="en-US"/>
        </w:rPr>
        <w:t>8.4</w:t>
      </w:r>
      <w:r w:rsidRPr="00E42154">
        <w:rPr>
          <w:rFonts w:cs="Arial"/>
          <w:szCs w:val="22"/>
          <w:lang w:eastAsia="en-US"/>
        </w:rPr>
        <w:tab/>
      </w:r>
      <w:r w:rsidR="001B5350">
        <w:rPr>
          <w:rFonts w:cs="Arial"/>
          <w:szCs w:val="22"/>
          <w:lang w:eastAsia="en-US"/>
        </w:rPr>
        <w:t>T</w:t>
      </w:r>
      <w:r w:rsidR="000A0DC2" w:rsidRPr="00E42154">
        <w:rPr>
          <w:rFonts w:cs="Arial"/>
          <w:szCs w:val="22"/>
          <w:lang w:eastAsia="en-US"/>
        </w:rPr>
        <w:t>his shows a General Fund balance of £</w:t>
      </w:r>
      <w:r w:rsidR="00E42154" w:rsidRPr="00E42154">
        <w:rPr>
          <w:rFonts w:cs="Arial"/>
          <w:szCs w:val="22"/>
          <w:lang w:eastAsia="en-US"/>
        </w:rPr>
        <w:t>4</w:t>
      </w:r>
      <w:r w:rsidR="000A0DC2" w:rsidRPr="00E42154">
        <w:rPr>
          <w:rFonts w:cs="Arial"/>
          <w:szCs w:val="22"/>
          <w:lang w:eastAsia="en-US"/>
        </w:rPr>
        <w:t>.</w:t>
      </w:r>
      <w:r w:rsidR="00E42154" w:rsidRPr="00E42154">
        <w:rPr>
          <w:rFonts w:cs="Arial"/>
          <w:szCs w:val="22"/>
          <w:lang w:eastAsia="en-US"/>
        </w:rPr>
        <w:t xml:space="preserve">680 </w:t>
      </w:r>
      <w:r w:rsidR="000A0DC2" w:rsidRPr="00E42154">
        <w:rPr>
          <w:rFonts w:cs="Arial"/>
          <w:szCs w:val="22"/>
          <w:lang w:eastAsia="en-US"/>
        </w:rPr>
        <w:t>million at 31</w:t>
      </w:r>
      <w:r w:rsidR="000A0DC2" w:rsidRPr="00E42154">
        <w:rPr>
          <w:rFonts w:cs="Arial"/>
          <w:szCs w:val="22"/>
          <w:vertAlign w:val="superscript"/>
          <w:lang w:eastAsia="en-US"/>
        </w:rPr>
        <w:t>st</w:t>
      </w:r>
      <w:r w:rsidR="000A0DC2" w:rsidRPr="00E42154">
        <w:rPr>
          <w:rFonts w:cs="Arial"/>
          <w:szCs w:val="22"/>
          <w:lang w:eastAsia="en-US"/>
        </w:rPr>
        <w:t xml:space="preserve"> March 201</w:t>
      </w:r>
      <w:r w:rsidR="00E42154" w:rsidRPr="00E42154">
        <w:rPr>
          <w:rFonts w:cs="Arial"/>
          <w:szCs w:val="22"/>
          <w:lang w:eastAsia="en-US"/>
        </w:rPr>
        <w:t>9</w:t>
      </w:r>
      <w:r w:rsidR="000A0DC2" w:rsidRPr="00E42154">
        <w:rPr>
          <w:rFonts w:cs="Arial"/>
          <w:szCs w:val="22"/>
          <w:lang w:eastAsia="en-US"/>
        </w:rPr>
        <w:t xml:space="preserve">.  The overall level of reserves has </w:t>
      </w:r>
      <w:r w:rsidR="00CE49D2" w:rsidRPr="00E42154">
        <w:rPr>
          <w:rFonts w:cs="Arial"/>
          <w:szCs w:val="22"/>
          <w:lang w:eastAsia="en-US"/>
        </w:rPr>
        <w:t>increased by £</w:t>
      </w:r>
      <w:r w:rsidR="000A0DC2" w:rsidRPr="00E42154">
        <w:rPr>
          <w:rFonts w:cs="Arial"/>
          <w:szCs w:val="22"/>
          <w:lang w:eastAsia="en-US"/>
        </w:rPr>
        <w:t>0.</w:t>
      </w:r>
      <w:r w:rsidR="00E42154" w:rsidRPr="00E42154">
        <w:rPr>
          <w:rFonts w:cs="Arial"/>
          <w:szCs w:val="22"/>
          <w:lang w:eastAsia="en-US"/>
        </w:rPr>
        <w:t xml:space="preserve">531 </w:t>
      </w:r>
      <w:r w:rsidR="000A0DC2" w:rsidRPr="00E42154">
        <w:rPr>
          <w:rFonts w:cs="Arial"/>
          <w:szCs w:val="22"/>
          <w:lang w:eastAsia="en-US"/>
        </w:rPr>
        <w:t>million, comprising of a</w:t>
      </w:r>
      <w:r w:rsidR="00E42154" w:rsidRPr="00E42154">
        <w:rPr>
          <w:rFonts w:cs="Arial"/>
          <w:szCs w:val="22"/>
          <w:lang w:eastAsia="en-US"/>
        </w:rPr>
        <w:t xml:space="preserve"> reduction </w:t>
      </w:r>
      <w:r w:rsidR="000A0DC2" w:rsidRPr="00E42154">
        <w:rPr>
          <w:rFonts w:cs="Arial"/>
          <w:szCs w:val="22"/>
          <w:lang w:eastAsia="en-US"/>
        </w:rPr>
        <w:t>in General Reserves of £0.</w:t>
      </w:r>
      <w:r w:rsidR="00E42154" w:rsidRPr="00E42154">
        <w:rPr>
          <w:rFonts w:cs="Arial"/>
          <w:szCs w:val="22"/>
          <w:lang w:eastAsia="en-US"/>
        </w:rPr>
        <w:t>677</w:t>
      </w:r>
      <w:r w:rsidR="000A0DC2" w:rsidRPr="00E42154">
        <w:rPr>
          <w:rFonts w:cs="Arial"/>
          <w:szCs w:val="22"/>
          <w:lang w:eastAsia="en-US"/>
        </w:rPr>
        <w:t xml:space="preserve"> million offset by a</w:t>
      </w:r>
      <w:r w:rsidR="00E42154" w:rsidRPr="00E42154">
        <w:rPr>
          <w:rFonts w:cs="Arial"/>
          <w:szCs w:val="22"/>
          <w:lang w:eastAsia="en-US"/>
        </w:rPr>
        <w:t>n increase</w:t>
      </w:r>
      <w:r w:rsidR="000A0DC2" w:rsidRPr="00E42154">
        <w:rPr>
          <w:rFonts w:cs="Arial"/>
          <w:szCs w:val="22"/>
          <w:lang w:eastAsia="en-US"/>
        </w:rPr>
        <w:t xml:space="preserve"> of £</w:t>
      </w:r>
      <w:r w:rsidR="00E42154" w:rsidRPr="00E42154">
        <w:rPr>
          <w:rFonts w:cs="Arial"/>
          <w:szCs w:val="22"/>
          <w:lang w:eastAsia="en-US"/>
        </w:rPr>
        <w:t>1.208</w:t>
      </w:r>
      <w:r w:rsidR="000A0DC2" w:rsidRPr="00E42154">
        <w:rPr>
          <w:rFonts w:cs="Arial"/>
          <w:szCs w:val="22"/>
          <w:lang w:eastAsia="en-US"/>
        </w:rPr>
        <w:t xml:space="preserve">million in Earmarked Reserves.  </w:t>
      </w:r>
      <w:r w:rsidRPr="00E42154">
        <w:rPr>
          <w:rFonts w:cs="Arial"/>
          <w:szCs w:val="22"/>
          <w:lang w:eastAsia="en-US"/>
        </w:rPr>
        <w:t>Th</w:t>
      </w:r>
      <w:r w:rsidR="00E42154" w:rsidRPr="00E42154">
        <w:rPr>
          <w:rFonts w:cs="Arial"/>
          <w:szCs w:val="22"/>
          <w:lang w:eastAsia="en-US"/>
        </w:rPr>
        <w:t>ese movements</w:t>
      </w:r>
      <w:r w:rsidRPr="00E42154">
        <w:rPr>
          <w:rFonts w:cs="Arial"/>
          <w:szCs w:val="22"/>
          <w:lang w:eastAsia="en-US"/>
        </w:rPr>
        <w:t xml:space="preserve"> include the £0.</w:t>
      </w:r>
      <w:r w:rsidR="00E42154" w:rsidRPr="00E42154">
        <w:rPr>
          <w:rFonts w:cs="Arial"/>
          <w:szCs w:val="22"/>
          <w:lang w:eastAsia="en-US"/>
        </w:rPr>
        <w:t>7</w:t>
      </w:r>
      <w:r w:rsidRPr="00E42154">
        <w:rPr>
          <w:rFonts w:cs="Arial"/>
          <w:szCs w:val="22"/>
          <w:lang w:eastAsia="en-US"/>
        </w:rPr>
        <w:t xml:space="preserve">70m surplus </w:t>
      </w:r>
      <w:r w:rsidR="00E42154" w:rsidRPr="00E42154">
        <w:rPr>
          <w:rFonts w:cs="Arial"/>
          <w:szCs w:val="22"/>
          <w:lang w:eastAsia="en-US"/>
        </w:rPr>
        <w:t>in the General Fund Balance brought fo</w:t>
      </w:r>
      <w:r w:rsidRPr="00E42154">
        <w:rPr>
          <w:rFonts w:cs="Arial"/>
          <w:szCs w:val="22"/>
          <w:lang w:eastAsia="en-US"/>
        </w:rPr>
        <w:t>r</w:t>
      </w:r>
      <w:r w:rsidR="00E42154" w:rsidRPr="00E42154">
        <w:rPr>
          <w:rFonts w:cs="Arial"/>
          <w:szCs w:val="22"/>
          <w:lang w:eastAsia="en-US"/>
        </w:rPr>
        <w:t>ward, transferred to earmarked reserves during 2018/19.F</w:t>
      </w:r>
      <w:r w:rsidR="00625355" w:rsidRPr="00E42154">
        <w:rPr>
          <w:rFonts w:cs="Arial"/>
          <w:szCs w:val="22"/>
          <w:lang w:eastAsia="en-US"/>
        </w:rPr>
        <w:t xml:space="preserve">urther detail is provided in Appendix </w:t>
      </w:r>
      <w:r w:rsidRPr="00E42154">
        <w:rPr>
          <w:rFonts w:cs="Arial"/>
          <w:szCs w:val="22"/>
          <w:lang w:eastAsia="en-US"/>
        </w:rPr>
        <w:t>C</w:t>
      </w:r>
      <w:r w:rsidR="00625355" w:rsidRPr="00E42154">
        <w:rPr>
          <w:rFonts w:cs="Arial"/>
          <w:szCs w:val="22"/>
          <w:lang w:eastAsia="en-US"/>
        </w:rPr>
        <w:t>.</w:t>
      </w:r>
    </w:p>
    <w:p w:rsidR="004234E7" w:rsidRDefault="004234E7" w:rsidP="004234E7">
      <w:pPr>
        <w:jc w:val="both"/>
        <w:rPr>
          <w:rFonts w:cs="Arial"/>
          <w:szCs w:val="22"/>
          <w:lang w:eastAsia="en-US"/>
        </w:rPr>
      </w:pPr>
    </w:p>
    <w:p w:rsidR="004234E7" w:rsidRPr="004234E7" w:rsidRDefault="004234E7" w:rsidP="004234E7">
      <w:pPr>
        <w:jc w:val="both"/>
        <w:rPr>
          <w:rFonts w:cs="Arial"/>
          <w:b/>
        </w:rPr>
      </w:pPr>
      <w:r w:rsidRPr="004234E7">
        <w:rPr>
          <w:rFonts w:cs="Arial"/>
          <w:b/>
        </w:rPr>
        <w:t>General Fund Balance</w:t>
      </w:r>
    </w:p>
    <w:p w:rsidR="004234E7" w:rsidRPr="00D23B41" w:rsidRDefault="004234E7" w:rsidP="004234E7">
      <w:pPr>
        <w:jc w:val="both"/>
        <w:rPr>
          <w:b/>
          <w:color w:val="FF0000"/>
        </w:rPr>
      </w:pPr>
    </w:p>
    <w:p w:rsidR="00C922DE" w:rsidRPr="00D23B41" w:rsidRDefault="0015418C" w:rsidP="001B5350">
      <w:pPr>
        <w:ind w:left="567" w:hanging="567"/>
        <w:jc w:val="both"/>
        <w:rPr>
          <w:b/>
          <w:color w:val="FF0000"/>
        </w:rPr>
      </w:pPr>
      <w:r>
        <w:rPr>
          <w:rFonts w:cs="Arial"/>
          <w:szCs w:val="22"/>
        </w:rPr>
        <w:t>8.</w:t>
      </w:r>
      <w:r w:rsidR="003B3C22">
        <w:rPr>
          <w:rFonts w:cs="Arial"/>
          <w:szCs w:val="22"/>
        </w:rPr>
        <w:t>5</w:t>
      </w:r>
      <w:r>
        <w:rPr>
          <w:rFonts w:cs="Arial"/>
          <w:szCs w:val="22"/>
        </w:rPr>
        <w:t xml:space="preserve">  </w:t>
      </w:r>
      <w:r w:rsidR="00595826">
        <w:rPr>
          <w:rFonts w:cs="Arial"/>
          <w:szCs w:val="22"/>
        </w:rPr>
        <w:t xml:space="preserve">   </w:t>
      </w:r>
      <w:r w:rsidR="004234E7" w:rsidRPr="00CE49D2">
        <w:rPr>
          <w:rFonts w:cs="Arial"/>
          <w:szCs w:val="22"/>
        </w:rPr>
        <w:t xml:space="preserve">The general reserve is needed to deal with unplanned/unforeseen expenditure or losses in income.  </w:t>
      </w:r>
      <w:r w:rsidR="001B5350">
        <w:rPr>
          <w:rFonts w:cs="Arial"/>
          <w:szCs w:val="22"/>
        </w:rPr>
        <w:t xml:space="preserve"> </w:t>
      </w:r>
      <w:r w:rsidR="00906C23">
        <w:rPr>
          <w:rFonts w:cs="Arial"/>
          <w:szCs w:val="22"/>
        </w:rPr>
        <w:t>T</w:t>
      </w:r>
      <w:r w:rsidR="00906C23" w:rsidRPr="00CE49D2">
        <w:rPr>
          <w:rFonts w:cs="Arial"/>
        </w:rPr>
        <w:t xml:space="preserve">he General Fund Balance should be viewed in context of </w:t>
      </w:r>
      <w:r w:rsidR="00625355">
        <w:rPr>
          <w:rFonts w:cs="Arial"/>
        </w:rPr>
        <w:t xml:space="preserve">the funding </w:t>
      </w:r>
      <w:r w:rsidR="00906C23" w:rsidRPr="00CE49D2">
        <w:rPr>
          <w:rFonts w:cs="Arial"/>
        </w:rPr>
        <w:t>uncertainty facing the Council</w:t>
      </w:r>
      <w:r w:rsidR="00625355">
        <w:rPr>
          <w:rFonts w:cs="Arial"/>
        </w:rPr>
        <w:t xml:space="preserve"> and indeed all councils across the country.  </w:t>
      </w:r>
    </w:p>
    <w:p w:rsidR="0042676D" w:rsidRDefault="0042676D" w:rsidP="00DF5918">
      <w:pPr>
        <w:jc w:val="both"/>
        <w:rPr>
          <w:rFonts w:cs="Arial"/>
          <w:b/>
        </w:rPr>
      </w:pPr>
    </w:p>
    <w:p w:rsidR="00DF5918" w:rsidRPr="0015418C" w:rsidRDefault="00DF5918" w:rsidP="00DF5918">
      <w:pPr>
        <w:jc w:val="both"/>
        <w:rPr>
          <w:rFonts w:cs="Arial"/>
          <w:b/>
          <w:szCs w:val="22"/>
        </w:rPr>
      </w:pPr>
      <w:r w:rsidRPr="00DF5918">
        <w:rPr>
          <w:rFonts w:cs="Arial"/>
          <w:b/>
        </w:rPr>
        <w:t>Earmarked and Other Reserves</w:t>
      </w:r>
    </w:p>
    <w:p w:rsidR="00DF5918" w:rsidRPr="002E1752" w:rsidRDefault="00DF5918" w:rsidP="002E1752"/>
    <w:p w:rsidR="004234E7" w:rsidRDefault="003B3C22" w:rsidP="001B5350">
      <w:pPr>
        <w:ind w:left="567" w:hanging="567"/>
      </w:pPr>
      <w:r>
        <w:t>8.6</w:t>
      </w:r>
      <w:r>
        <w:tab/>
      </w:r>
      <w:r w:rsidR="004234E7" w:rsidRPr="004D11E9">
        <w:t>Earmarked reserves have been established to meet ‘known or predicted liabilities’ where the impact of the expenditure would otherwise cause a significant variation to the Counc</w:t>
      </w:r>
      <w:r w:rsidR="004234E7" w:rsidRPr="002E1752">
        <w:t xml:space="preserve">il’s annual expenditure.  </w:t>
      </w:r>
      <w:r w:rsidR="00680096" w:rsidRPr="002E1752">
        <w:t xml:space="preserve">The reserves at the end of the year reflect some decisions that were made as part of the budget setting process which resulted in the creation of some new reserves and the consolidation of some existing reserves.  For </w:t>
      </w:r>
      <w:r w:rsidR="004234E7" w:rsidRPr="002E1752">
        <w:t>earmarked reserves the Committee should take into consideration the specific comments set out below in considering whether the reserves are appropriate.</w:t>
      </w:r>
      <w:r w:rsidR="0015418C" w:rsidRPr="002E1752">
        <w:t xml:space="preserve"> </w:t>
      </w:r>
      <w:r w:rsidR="004234E7" w:rsidRPr="002E1752">
        <w:t>A summary of each reserve is listed below:</w:t>
      </w:r>
    </w:p>
    <w:p w:rsidR="00985961" w:rsidRPr="002E1752" w:rsidRDefault="00985961" w:rsidP="001B5350">
      <w:pPr>
        <w:ind w:left="567" w:hanging="567"/>
      </w:pPr>
    </w:p>
    <w:p w:rsidR="00985961" w:rsidRPr="007703FF" w:rsidRDefault="00985961" w:rsidP="00985961">
      <w:pPr>
        <w:pStyle w:val="ListParagraph"/>
        <w:numPr>
          <w:ilvl w:val="0"/>
          <w:numId w:val="49"/>
        </w:numPr>
        <w:jc w:val="both"/>
      </w:pPr>
      <w:r w:rsidRPr="007703FF">
        <w:rPr>
          <w:rFonts w:ascii="Arial" w:eastAsia="Times New Roman" w:hAnsi="Arial"/>
          <w:szCs w:val="20"/>
          <w:lang w:eastAsia="en-GB"/>
        </w:rPr>
        <w:t xml:space="preserve">My Neighbourhoods </w:t>
      </w:r>
    </w:p>
    <w:p w:rsidR="00985961" w:rsidRDefault="00985961" w:rsidP="00985961">
      <w:pPr>
        <w:ind w:left="720"/>
        <w:jc w:val="both"/>
      </w:pPr>
      <w:r w:rsidRPr="007703FF">
        <w:t>The balance on the My Neighbourhoods reserve as at the 31</w:t>
      </w:r>
      <w:r w:rsidRPr="007703FF">
        <w:rPr>
          <w:vertAlign w:val="superscript"/>
        </w:rPr>
        <w:t>st</w:t>
      </w:r>
      <w:r w:rsidRPr="007703FF">
        <w:t xml:space="preserve"> March 2019 is £0.054m and this represents unspent core funding carried forward into 2019/20 to fund My Neighbourhoods expenditure.</w:t>
      </w:r>
    </w:p>
    <w:p w:rsidR="00985961" w:rsidRDefault="00985961" w:rsidP="00985961">
      <w:pPr>
        <w:ind w:left="720"/>
        <w:jc w:val="both"/>
      </w:pPr>
    </w:p>
    <w:p w:rsidR="00985961" w:rsidRPr="00680096" w:rsidRDefault="00985961" w:rsidP="00985961">
      <w:pPr>
        <w:pStyle w:val="ListParagraph"/>
        <w:numPr>
          <w:ilvl w:val="0"/>
          <w:numId w:val="49"/>
        </w:numPr>
        <w:jc w:val="both"/>
      </w:pPr>
      <w:r w:rsidRPr="002E1752">
        <w:rPr>
          <w:rFonts w:ascii="Arial" w:eastAsia="Times New Roman" w:hAnsi="Arial"/>
          <w:szCs w:val="20"/>
          <w:lang w:eastAsia="en-GB"/>
        </w:rPr>
        <w:t xml:space="preserve">Borough Council Elections </w:t>
      </w:r>
    </w:p>
    <w:p w:rsidR="00985961" w:rsidRDefault="00985961" w:rsidP="00985961">
      <w:pPr>
        <w:ind w:left="720"/>
        <w:jc w:val="both"/>
      </w:pPr>
      <w:r w:rsidRPr="00C922DE">
        <w:lastRenderedPageBreak/>
        <w:t xml:space="preserve">This reserve is used to meet the costs associated with the Council’s elections held once every four years. </w:t>
      </w:r>
    </w:p>
    <w:p w:rsidR="00985961" w:rsidRDefault="00985961" w:rsidP="00985961">
      <w:pPr>
        <w:ind w:left="720"/>
        <w:jc w:val="both"/>
      </w:pPr>
    </w:p>
    <w:p w:rsidR="00985961" w:rsidRPr="002E1752" w:rsidRDefault="00985961" w:rsidP="00985961">
      <w:pPr>
        <w:pStyle w:val="ListParagraph"/>
        <w:numPr>
          <w:ilvl w:val="0"/>
          <w:numId w:val="49"/>
        </w:numPr>
        <w:spacing w:after="360"/>
        <w:jc w:val="both"/>
      </w:pPr>
      <w:r w:rsidRPr="002E1752">
        <w:rPr>
          <w:rFonts w:ascii="Arial" w:eastAsia="Times New Roman" w:hAnsi="Arial"/>
          <w:szCs w:val="20"/>
          <w:lang w:eastAsia="en-GB"/>
        </w:rPr>
        <w:t xml:space="preserve">Housing Needs Survey </w:t>
      </w:r>
    </w:p>
    <w:p w:rsidR="00985961" w:rsidRPr="00AA0F8E" w:rsidRDefault="00985961" w:rsidP="00985961">
      <w:pPr>
        <w:spacing w:after="360"/>
        <w:ind w:left="720"/>
        <w:jc w:val="both"/>
      </w:pPr>
      <w:r w:rsidRPr="00AA0F8E">
        <w:t xml:space="preserve">This reserve is used to meet the costs of carrying out a detailed housing needs survey. A contribution of £20k was made into the reserve in 2018/19 and £34k was released to fund the cost of a Private Sector Housing Survey undertaken during the year. </w:t>
      </w:r>
    </w:p>
    <w:p w:rsidR="00985961" w:rsidRPr="00AA0F8E" w:rsidRDefault="00985961" w:rsidP="00985961">
      <w:pPr>
        <w:pStyle w:val="ListParagraph"/>
        <w:numPr>
          <w:ilvl w:val="0"/>
          <w:numId w:val="49"/>
        </w:numPr>
        <w:ind w:right="-1"/>
        <w:jc w:val="both"/>
      </w:pPr>
      <w:r w:rsidRPr="00AA0F8E">
        <w:rPr>
          <w:rFonts w:ascii="Arial" w:eastAsia="Times New Roman" w:hAnsi="Arial"/>
          <w:szCs w:val="20"/>
          <w:lang w:eastAsia="en-GB"/>
        </w:rPr>
        <w:t xml:space="preserve">Local Development Framework (LDF) </w:t>
      </w:r>
    </w:p>
    <w:p w:rsidR="00985961" w:rsidRPr="007703FF" w:rsidRDefault="00985961" w:rsidP="00985961">
      <w:pPr>
        <w:ind w:left="720" w:right="-1"/>
        <w:jc w:val="both"/>
      </w:pPr>
      <w:r w:rsidRPr="007703FF">
        <w:t>The purpose of this reserve is to meet the predicted fluctuating expenditure requirements in relation to the LDF. The closing balance on this reserve at 31st March 2019 was £0.255m. This is earmarked to fund the Council’s share of costs in relation to the Central Lancashire Local Plan which will be adopted in 2022.</w:t>
      </w:r>
    </w:p>
    <w:p w:rsidR="00985961" w:rsidRPr="007703FF" w:rsidRDefault="00985961" w:rsidP="00985961">
      <w:pPr>
        <w:ind w:left="284" w:right="-1"/>
        <w:jc w:val="both"/>
      </w:pPr>
    </w:p>
    <w:p w:rsidR="00985961" w:rsidRPr="007703FF" w:rsidRDefault="00985961" w:rsidP="00985961">
      <w:pPr>
        <w:pStyle w:val="ListParagraph"/>
        <w:numPr>
          <w:ilvl w:val="0"/>
          <w:numId w:val="49"/>
        </w:numPr>
        <w:jc w:val="both"/>
      </w:pPr>
      <w:r w:rsidRPr="007703FF">
        <w:rPr>
          <w:rFonts w:ascii="Arial" w:eastAsia="Times New Roman" w:hAnsi="Arial"/>
          <w:szCs w:val="20"/>
          <w:lang w:eastAsia="en-GB"/>
        </w:rPr>
        <w:t xml:space="preserve">Performance Reward Grant </w:t>
      </w:r>
    </w:p>
    <w:p w:rsidR="00985961" w:rsidRDefault="00985961" w:rsidP="00985961">
      <w:pPr>
        <w:ind w:left="720"/>
        <w:jc w:val="both"/>
      </w:pPr>
      <w:r w:rsidRPr="007703FF">
        <w:t>As the accountable body, the Council received Performance Reward</w:t>
      </w:r>
      <w:r w:rsidRPr="007703FF">
        <w:rPr>
          <w:b/>
        </w:rPr>
        <w:t xml:space="preserve"> </w:t>
      </w:r>
      <w:r w:rsidRPr="007703FF">
        <w:t xml:space="preserve">Grant on behalf of the South Ribble Partnership. The funding is for both capital and revenue projects. The balance in the reserve represents the revenue grant which has been set aside to be spent in future years. The capital element is shown in the balance sheet as a capital grant unapplied.   </w:t>
      </w:r>
    </w:p>
    <w:p w:rsidR="00985961" w:rsidRDefault="00985961" w:rsidP="00985961">
      <w:pPr>
        <w:ind w:left="720"/>
        <w:jc w:val="both"/>
      </w:pPr>
    </w:p>
    <w:p w:rsidR="00985961" w:rsidRPr="007703FF" w:rsidRDefault="00985961" w:rsidP="00985961">
      <w:pPr>
        <w:pStyle w:val="ListParagraph"/>
        <w:numPr>
          <w:ilvl w:val="0"/>
          <w:numId w:val="49"/>
        </w:numPr>
        <w:jc w:val="both"/>
      </w:pPr>
      <w:r w:rsidRPr="007703FF">
        <w:t xml:space="preserve">  </w:t>
      </w:r>
      <w:r w:rsidRPr="007703FF">
        <w:rPr>
          <w:rFonts w:ascii="Arial" w:eastAsia="Times New Roman" w:hAnsi="Arial"/>
          <w:szCs w:val="20"/>
          <w:lang w:eastAsia="en-GB"/>
        </w:rPr>
        <w:t xml:space="preserve">Organisational Restructure costs </w:t>
      </w:r>
    </w:p>
    <w:p w:rsidR="00985961" w:rsidRPr="007703FF" w:rsidRDefault="00985961" w:rsidP="00985961">
      <w:pPr>
        <w:ind w:left="720"/>
        <w:jc w:val="both"/>
      </w:pPr>
      <w:r w:rsidRPr="007703FF">
        <w:t xml:space="preserve">Funding from this reserve is taken to revenue to fund any one-off costs in relation to reorganisation and restructure costs.  £0.063m was used to fund redundancy costs in 2018/19. </w:t>
      </w:r>
    </w:p>
    <w:p w:rsidR="00985961" w:rsidRPr="007703FF" w:rsidRDefault="00985961" w:rsidP="00985961">
      <w:pPr>
        <w:ind w:left="284"/>
        <w:jc w:val="both"/>
      </w:pPr>
    </w:p>
    <w:p w:rsidR="00D84146" w:rsidRDefault="00D84146" w:rsidP="00D84146">
      <w:pPr>
        <w:tabs>
          <w:tab w:val="left" w:pos="1134"/>
        </w:tabs>
        <w:ind w:left="720"/>
        <w:jc w:val="both"/>
      </w:pPr>
      <w:r>
        <w:t>•</w:t>
      </w:r>
      <w:r>
        <w:tab/>
        <w:t xml:space="preserve">Borough Investment Account </w:t>
      </w:r>
    </w:p>
    <w:p w:rsidR="00D84146" w:rsidRDefault="00D84146" w:rsidP="00D84146">
      <w:pPr>
        <w:ind w:left="720"/>
        <w:jc w:val="both"/>
      </w:pPr>
    </w:p>
    <w:p w:rsidR="00985961" w:rsidRDefault="00D84146" w:rsidP="00D84146">
      <w:pPr>
        <w:ind w:left="720"/>
        <w:jc w:val="both"/>
      </w:pPr>
      <w:r>
        <w:t>To facilitate income generation schemes and create a diverse and self-sustaining income portfolio to enable the Council to bridge the funding gap.  This was increased by £770,000 in 2018/19, following the Council decision to transfer the 2017/18 surplus into the reserve.</w:t>
      </w:r>
    </w:p>
    <w:p w:rsidR="00D84146" w:rsidRDefault="00D84146" w:rsidP="00D84146">
      <w:pPr>
        <w:ind w:left="720"/>
        <w:jc w:val="both"/>
      </w:pPr>
    </w:p>
    <w:p w:rsidR="00D84146" w:rsidRPr="004D11E9" w:rsidRDefault="00D84146" w:rsidP="00D84146">
      <w:pPr>
        <w:pStyle w:val="ListParagraph"/>
        <w:numPr>
          <w:ilvl w:val="0"/>
          <w:numId w:val="49"/>
        </w:numPr>
        <w:jc w:val="both"/>
      </w:pPr>
      <w:r w:rsidRPr="002E1752">
        <w:rPr>
          <w:rFonts w:ascii="Arial" w:eastAsia="Times New Roman" w:hAnsi="Arial"/>
          <w:szCs w:val="20"/>
          <w:lang w:eastAsia="en-GB"/>
        </w:rPr>
        <w:t xml:space="preserve">Business Rates Retention </w:t>
      </w:r>
    </w:p>
    <w:p w:rsidR="00D84146" w:rsidRDefault="00D84146" w:rsidP="00D84146">
      <w:pPr>
        <w:autoSpaceDE w:val="0"/>
        <w:autoSpaceDN w:val="0"/>
        <w:adjustRightInd w:val="0"/>
        <w:spacing w:after="240"/>
        <w:ind w:left="720"/>
        <w:jc w:val="both"/>
      </w:pPr>
      <w:r w:rsidRPr="003B2585">
        <w:t xml:space="preserve">The equalisation reserve was created in order to meet potential collection fund deficit liabilities commitments, the impact of tax base re-valuation and also unplanned Central Government Levy payments.  This reserve should mitigate the potential risk to the Council’s MTFS by providing funds to smooth out the inherent fluctuations that will occur as the three year time </w:t>
      </w:r>
      <w:r w:rsidRPr="00C922DE">
        <w:t>period characteristic of the system overlays and offsets each other in future years.</w:t>
      </w:r>
      <w:r>
        <w:t xml:space="preserve"> The net £0.494m paid into the reserve comprises:</w:t>
      </w:r>
    </w:p>
    <w:p w:rsidR="00D84146" w:rsidRDefault="00D84146" w:rsidP="00D84146">
      <w:pPr>
        <w:pStyle w:val="ListParagraph"/>
        <w:numPr>
          <w:ilvl w:val="3"/>
          <w:numId w:val="56"/>
        </w:numPr>
        <w:autoSpaceDE w:val="0"/>
        <w:autoSpaceDN w:val="0"/>
        <w:adjustRightInd w:val="0"/>
        <w:spacing w:after="240"/>
        <w:ind w:left="1080"/>
        <w:jc w:val="both"/>
        <w:rPr>
          <w:rFonts w:ascii="Arial" w:hAnsi="Arial" w:cs="Arial"/>
        </w:rPr>
      </w:pPr>
      <w:r w:rsidRPr="007150A3">
        <w:rPr>
          <w:rFonts w:ascii="Arial" w:hAnsi="Arial" w:cs="Arial"/>
        </w:rPr>
        <w:t>£</w:t>
      </w:r>
      <w:r>
        <w:rPr>
          <w:rFonts w:ascii="Arial" w:hAnsi="Arial" w:cs="Arial"/>
        </w:rPr>
        <w:t>504k surplus from collection fund and s31 receipts</w:t>
      </w:r>
    </w:p>
    <w:p w:rsidR="00D84146" w:rsidRDefault="00D84146" w:rsidP="00D84146">
      <w:pPr>
        <w:pStyle w:val="ListParagraph"/>
        <w:numPr>
          <w:ilvl w:val="3"/>
          <w:numId w:val="56"/>
        </w:numPr>
        <w:tabs>
          <w:tab w:val="left" w:pos="993"/>
        </w:tabs>
        <w:autoSpaceDE w:val="0"/>
        <w:autoSpaceDN w:val="0"/>
        <w:adjustRightInd w:val="0"/>
        <w:spacing w:after="240"/>
        <w:ind w:left="1080"/>
        <w:jc w:val="both"/>
        <w:rPr>
          <w:rFonts w:ascii="Arial" w:hAnsi="Arial" w:cs="Arial"/>
        </w:rPr>
      </w:pPr>
      <w:r w:rsidRPr="00D84146">
        <w:rPr>
          <w:rFonts w:ascii="Arial" w:hAnsi="Arial" w:cs="Arial"/>
        </w:rPr>
        <w:lastRenderedPageBreak/>
        <w:t xml:space="preserve">£10k release to match fund the external cost of the business rates rateable value finder support service in 2018/19. As the fee is only payable on additional rateable properties found, the fee is paid from the Council’s share of the business rates growth retained as income to the Council </w:t>
      </w:r>
    </w:p>
    <w:p w:rsidR="00D84146" w:rsidRPr="00D84146" w:rsidRDefault="00D84146" w:rsidP="00157747">
      <w:pPr>
        <w:pStyle w:val="NoSpacing"/>
        <w:numPr>
          <w:ilvl w:val="0"/>
          <w:numId w:val="62"/>
        </w:numPr>
      </w:pPr>
      <w:r w:rsidRPr="00D84146">
        <w:t xml:space="preserve">City Deal Fund </w:t>
      </w:r>
    </w:p>
    <w:p w:rsidR="00D84146" w:rsidRPr="006D6606" w:rsidRDefault="00D84146" w:rsidP="00D84146">
      <w:pPr>
        <w:spacing w:before="100" w:beforeAutospacing="1" w:after="100" w:afterAutospacing="1"/>
        <w:ind w:left="720"/>
        <w:jc w:val="both"/>
        <w:rPr>
          <w:color w:val="FF0000"/>
          <w:szCs w:val="22"/>
        </w:rPr>
      </w:pPr>
      <w:r>
        <w:rPr>
          <w:rFonts w:cs="Arial"/>
          <w:szCs w:val="22"/>
        </w:rPr>
        <w:t xml:space="preserve">This reserve is used </w:t>
      </w:r>
      <w:r w:rsidRPr="002A5B83">
        <w:rPr>
          <w:rFonts w:cs="Arial"/>
          <w:szCs w:val="22"/>
        </w:rPr>
        <w:t>to fund additional costs in relation to the delivery of City Deal projects and outcomes</w:t>
      </w:r>
      <w:r>
        <w:rPr>
          <w:rFonts w:cs="Arial"/>
          <w:szCs w:val="22"/>
        </w:rPr>
        <w:t xml:space="preserve">. </w:t>
      </w:r>
    </w:p>
    <w:p w:rsidR="00D84146" w:rsidRPr="007703FF" w:rsidRDefault="00D84146" w:rsidP="00D84146">
      <w:pPr>
        <w:pStyle w:val="ListParagraph"/>
        <w:numPr>
          <w:ilvl w:val="0"/>
          <w:numId w:val="49"/>
        </w:numPr>
        <w:jc w:val="both"/>
        <w:rPr>
          <w:rFonts w:ascii="Arial" w:eastAsia="Times New Roman" w:hAnsi="Arial"/>
          <w:szCs w:val="20"/>
          <w:lang w:eastAsia="en-GB"/>
        </w:rPr>
      </w:pPr>
      <w:r w:rsidRPr="007703FF">
        <w:rPr>
          <w:rFonts w:ascii="Arial" w:eastAsia="Times New Roman" w:hAnsi="Arial"/>
          <w:szCs w:val="20"/>
          <w:lang w:eastAsia="en-GB"/>
        </w:rPr>
        <w:t xml:space="preserve">New Burdens Funding </w:t>
      </w:r>
    </w:p>
    <w:p w:rsidR="00680096" w:rsidRPr="002E1752" w:rsidRDefault="00D84146" w:rsidP="00157747">
      <w:pPr>
        <w:spacing w:after="200" w:line="276" w:lineRule="auto"/>
        <w:ind w:left="720"/>
        <w:contextualSpacing/>
        <w:jc w:val="both"/>
        <w:rPr>
          <w:rFonts w:cs="Arial"/>
        </w:rPr>
      </w:pPr>
      <w:r w:rsidRPr="007703FF">
        <w:t>New Burdens grant income is received from Central Government to off-set additional implementation costs of government new initiatives</w:t>
      </w:r>
      <w:r w:rsidRPr="00BE41EB">
        <w:t xml:space="preserve">. New Burdens funding carried forward is now included in the ‘Other’ earmarked reserves. </w:t>
      </w:r>
    </w:p>
    <w:p w:rsidR="00680096" w:rsidRPr="00985961" w:rsidRDefault="00680096" w:rsidP="002E1752">
      <w:pPr>
        <w:pStyle w:val="ListParagraph"/>
        <w:numPr>
          <w:ilvl w:val="0"/>
          <w:numId w:val="49"/>
        </w:numPr>
        <w:jc w:val="both"/>
        <w:rPr>
          <w:rFonts w:cs="Arial"/>
        </w:rPr>
      </w:pPr>
      <w:r w:rsidRPr="002E1752">
        <w:rPr>
          <w:rFonts w:ascii="Arial" w:eastAsia="Times New Roman" w:hAnsi="Arial" w:cs="Arial"/>
          <w:szCs w:val="20"/>
          <w:lang w:eastAsia="en-GB"/>
        </w:rPr>
        <w:t xml:space="preserve">Capital Strategy Reserve ; Repairs and Maintenance Fund </w:t>
      </w:r>
    </w:p>
    <w:p w:rsidR="00985961" w:rsidRPr="00985961" w:rsidRDefault="00985961" w:rsidP="00985961">
      <w:pPr>
        <w:ind w:left="720"/>
        <w:jc w:val="both"/>
        <w:rPr>
          <w:rFonts w:cs="Arial"/>
        </w:rPr>
      </w:pPr>
    </w:p>
    <w:p w:rsidR="00680096" w:rsidRDefault="00680096" w:rsidP="00680096">
      <w:pPr>
        <w:pStyle w:val="ListParagraph"/>
        <w:numPr>
          <w:ilvl w:val="0"/>
          <w:numId w:val="52"/>
        </w:numPr>
        <w:jc w:val="both"/>
        <w:rPr>
          <w:rFonts w:ascii="Arial" w:hAnsi="Arial" w:cs="Arial"/>
        </w:rPr>
      </w:pPr>
      <w:r w:rsidRPr="00A50453">
        <w:rPr>
          <w:rFonts w:ascii="Arial" w:hAnsi="Arial" w:cs="Arial"/>
        </w:rPr>
        <w:t>Capital Strategy reserve to fund capital expenditure in line with the Council’s Corporate Plan priorities, as set out in the approved Capital Strategy for 2018/19 to 2022/23</w:t>
      </w:r>
      <w:r>
        <w:rPr>
          <w:rFonts w:ascii="Arial" w:hAnsi="Arial" w:cs="Arial"/>
        </w:rPr>
        <w:t xml:space="preserve">; and </w:t>
      </w:r>
    </w:p>
    <w:p w:rsidR="00680096" w:rsidRDefault="00680096" w:rsidP="00680096">
      <w:pPr>
        <w:pStyle w:val="ListParagraph"/>
        <w:numPr>
          <w:ilvl w:val="0"/>
          <w:numId w:val="52"/>
        </w:numPr>
        <w:jc w:val="both"/>
        <w:rPr>
          <w:rFonts w:ascii="Arial" w:hAnsi="Arial" w:cs="Arial"/>
        </w:rPr>
      </w:pPr>
      <w:r w:rsidRPr="00A50453">
        <w:rPr>
          <w:rFonts w:ascii="Arial" w:hAnsi="Arial" w:cs="Arial"/>
        </w:rPr>
        <w:t xml:space="preserve">Repairs and Maintenance Fund.  The revenue budget includes an annual provision for the costs of </w:t>
      </w:r>
      <w:r>
        <w:rPr>
          <w:rFonts w:ascii="Arial" w:hAnsi="Arial" w:cs="Arial"/>
        </w:rPr>
        <w:t xml:space="preserve">routine </w:t>
      </w:r>
      <w:r w:rsidRPr="00A50453">
        <w:rPr>
          <w:rFonts w:ascii="Arial" w:hAnsi="Arial" w:cs="Arial"/>
        </w:rPr>
        <w:t xml:space="preserve">repairs and maintenance of the Council’s property assets. This new reserve has been created to meet the costs of any major repairs and maintenance </w:t>
      </w:r>
      <w:r>
        <w:rPr>
          <w:rFonts w:ascii="Arial" w:hAnsi="Arial" w:cs="Arial"/>
        </w:rPr>
        <w:t xml:space="preserve">or improvement </w:t>
      </w:r>
      <w:r w:rsidRPr="00A50453">
        <w:rPr>
          <w:rFonts w:ascii="Arial" w:hAnsi="Arial" w:cs="Arial"/>
        </w:rPr>
        <w:t xml:space="preserve">works </w:t>
      </w:r>
      <w:r>
        <w:rPr>
          <w:rFonts w:ascii="Arial" w:hAnsi="Arial" w:cs="Arial"/>
        </w:rPr>
        <w:t xml:space="preserve">to the Council’s properties </w:t>
      </w:r>
      <w:r w:rsidRPr="00A50453">
        <w:rPr>
          <w:rFonts w:ascii="Arial" w:hAnsi="Arial" w:cs="Arial"/>
        </w:rPr>
        <w:t xml:space="preserve">which cannot be met from this base budget. </w:t>
      </w:r>
    </w:p>
    <w:p w:rsidR="00680096" w:rsidRPr="00A50453" w:rsidRDefault="00680096" w:rsidP="002E1752">
      <w:pPr>
        <w:pStyle w:val="ListParagraph"/>
        <w:ind w:left="1440"/>
        <w:jc w:val="both"/>
        <w:rPr>
          <w:rFonts w:ascii="Arial" w:hAnsi="Arial" w:cs="Arial"/>
        </w:rPr>
      </w:pPr>
    </w:p>
    <w:p w:rsidR="00680096" w:rsidRPr="004D11E9" w:rsidRDefault="00680096" w:rsidP="002E1752">
      <w:pPr>
        <w:pStyle w:val="ListParagraph"/>
        <w:numPr>
          <w:ilvl w:val="0"/>
          <w:numId w:val="49"/>
        </w:numPr>
        <w:jc w:val="both"/>
      </w:pPr>
      <w:r w:rsidRPr="002E1752">
        <w:rPr>
          <w:rFonts w:ascii="Arial" w:eastAsia="Times New Roman" w:hAnsi="Arial"/>
          <w:szCs w:val="20"/>
          <w:lang w:eastAsia="en-GB"/>
        </w:rPr>
        <w:t xml:space="preserve">Transformation Fund </w:t>
      </w:r>
    </w:p>
    <w:p w:rsidR="00680096" w:rsidRDefault="00680096" w:rsidP="002E1752">
      <w:pPr>
        <w:ind w:left="1080"/>
        <w:jc w:val="both"/>
      </w:pPr>
      <w:r>
        <w:t>The purpose of this reserve is to provide funding for projects which will generate a payback into the Council’s revenue budget through sustainable income generation and/or recurring cost savings.  There has been no call on this budget in 201</w:t>
      </w:r>
      <w:r w:rsidR="00AA0F8E">
        <w:t>8</w:t>
      </w:r>
      <w:r>
        <w:t>/1</w:t>
      </w:r>
      <w:r w:rsidR="00AA0F8E">
        <w:t>9</w:t>
      </w:r>
      <w:r>
        <w:t>.</w:t>
      </w:r>
    </w:p>
    <w:p w:rsidR="00D84146" w:rsidRDefault="00D84146" w:rsidP="002E1752">
      <w:pPr>
        <w:ind w:left="1080"/>
        <w:jc w:val="both"/>
      </w:pPr>
    </w:p>
    <w:p w:rsidR="00680096" w:rsidRPr="00304B11" w:rsidRDefault="00680096" w:rsidP="002E1752">
      <w:pPr>
        <w:pStyle w:val="ListParagraph"/>
        <w:numPr>
          <w:ilvl w:val="0"/>
          <w:numId w:val="49"/>
        </w:numPr>
        <w:jc w:val="both"/>
      </w:pPr>
      <w:r w:rsidRPr="00304B11">
        <w:rPr>
          <w:rFonts w:ascii="Arial" w:eastAsia="Times New Roman" w:hAnsi="Arial"/>
          <w:szCs w:val="20"/>
          <w:lang w:eastAsia="en-GB"/>
        </w:rPr>
        <w:t xml:space="preserve">Apprenticeship Reserve </w:t>
      </w:r>
    </w:p>
    <w:p w:rsidR="00B82001" w:rsidRPr="00304B11" w:rsidRDefault="00B82001" w:rsidP="00B82001">
      <w:pPr>
        <w:ind w:left="720"/>
        <w:jc w:val="both"/>
      </w:pPr>
      <w:r w:rsidRPr="00304B11">
        <w:t xml:space="preserve">This </w:t>
      </w:r>
      <w:r w:rsidR="00304B11" w:rsidRPr="00304B11">
        <w:t>reserve r</w:t>
      </w:r>
      <w:r w:rsidRPr="00304B11">
        <w:t>elates to</w:t>
      </w:r>
      <w:r w:rsidR="00304B11" w:rsidRPr="00304B11">
        <w:t xml:space="preserve"> funding set aside in </w:t>
      </w:r>
      <w:r w:rsidR="00304B11">
        <w:t xml:space="preserve">previous years </w:t>
      </w:r>
      <w:r w:rsidR="00304B11" w:rsidRPr="00304B11">
        <w:t xml:space="preserve">to fund Apprenticeship Costs </w:t>
      </w:r>
      <w:r w:rsidR="00304B11">
        <w:t>such as salaries and training.</w:t>
      </w:r>
      <w:r w:rsidRPr="00304B11">
        <w:t xml:space="preserve"> </w:t>
      </w:r>
    </w:p>
    <w:p w:rsidR="007703FF" w:rsidRPr="007703FF" w:rsidRDefault="007703FF" w:rsidP="007703FF">
      <w:pPr>
        <w:ind w:left="720"/>
        <w:jc w:val="both"/>
        <w:rPr>
          <w:rFonts w:eastAsia="Calibri"/>
        </w:rPr>
      </w:pPr>
    </w:p>
    <w:p w:rsidR="007703FF" w:rsidRPr="007703FF" w:rsidRDefault="007703FF" w:rsidP="007703FF">
      <w:pPr>
        <w:pStyle w:val="ListParagraph"/>
        <w:numPr>
          <w:ilvl w:val="0"/>
          <w:numId w:val="49"/>
        </w:numPr>
        <w:jc w:val="both"/>
      </w:pPr>
      <w:r w:rsidRPr="007703FF">
        <w:rPr>
          <w:rFonts w:ascii="Arial" w:eastAsia="Times New Roman" w:hAnsi="Arial"/>
          <w:szCs w:val="20"/>
          <w:lang w:eastAsia="en-GB"/>
        </w:rPr>
        <w:t xml:space="preserve">Other Earmarked Reserves </w:t>
      </w:r>
    </w:p>
    <w:p w:rsidR="00680096" w:rsidRPr="007703FF" w:rsidRDefault="00680096" w:rsidP="002E1752">
      <w:pPr>
        <w:ind w:left="720"/>
        <w:jc w:val="both"/>
      </w:pPr>
      <w:r w:rsidRPr="007703FF">
        <w:t xml:space="preserve">The balances on ‘Other’ earmarked reserves represent amounts carried forward from one financial year to the next, mainly where the timing of spending has been later than planned and it needs to be matched, for example, monies are specifically raised to fund the Sport </w:t>
      </w:r>
      <w:r w:rsidRPr="007703FF">
        <w:lastRenderedPageBreak/>
        <w:t xml:space="preserve">Development Team and therefore unspent receipts need to be carried forward into future years in order that the function has continued funding. It also includes funds set aside to ensure the Council can meet any liabilities which may arise.  </w:t>
      </w:r>
    </w:p>
    <w:p w:rsidR="00680096" w:rsidRPr="007703FF" w:rsidRDefault="00680096" w:rsidP="00680096">
      <w:pPr>
        <w:ind w:left="284"/>
        <w:jc w:val="both"/>
      </w:pPr>
    </w:p>
    <w:p w:rsidR="00680096" w:rsidRPr="007703FF" w:rsidRDefault="00680096" w:rsidP="002E1752">
      <w:pPr>
        <w:ind w:left="720"/>
        <w:jc w:val="both"/>
      </w:pPr>
      <w:r w:rsidRPr="007703FF">
        <w:t>The opening balance for 'Other' reserves at 1st April 201</w:t>
      </w:r>
      <w:r w:rsidR="007703FF" w:rsidRPr="007703FF">
        <w:t>8</w:t>
      </w:r>
      <w:r w:rsidRPr="007703FF">
        <w:t xml:space="preserve"> was £</w:t>
      </w:r>
      <w:r w:rsidR="007703FF" w:rsidRPr="007703FF">
        <w:t>0</w:t>
      </w:r>
      <w:r w:rsidRPr="007703FF">
        <w:t>.</w:t>
      </w:r>
      <w:r w:rsidR="007703FF" w:rsidRPr="007703FF">
        <w:t>606</w:t>
      </w:r>
      <w:r w:rsidRPr="007703FF">
        <w:t>m.</w:t>
      </w:r>
      <w:r w:rsidR="007703FF" w:rsidRPr="007703FF">
        <w:t xml:space="preserve"> </w:t>
      </w:r>
      <w:r w:rsidRPr="007703FF">
        <w:t>£0.</w:t>
      </w:r>
      <w:r w:rsidR="007703FF" w:rsidRPr="007703FF">
        <w:t>143</w:t>
      </w:r>
      <w:r w:rsidRPr="007703FF">
        <w:t>m has been released to revenue to match expenditure incurred and £</w:t>
      </w:r>
      <w:r w:rsidR="001C3A78" w:rsidRPr="007703FF">
        <w:t>0.</w:t>
      </w:r>
      <w:r w:rsidR="007703FF" w:rsidRPr="007703FF">
        <w:t>401</w:t>
      </w:r>
      <w:r w:rsidR="001C3A78" w:rsidRPr="007703FF">
        <w:t>m</w:t>
      </w:r>
      <w:r w:rsidRPr="007703FF">
        <w:t xml:space="preserve"> has been added to the reserve in respect of amounts carried forward into 2018/19</w:t>
      </w:r>
      <w:r w:rsidR="007703FF" w:rsidRPr="007703FF">
        <w:t>, including grant funding received</w:t>
      </w:r>
      <w:r w:rsidRPr="007703FF">
        <w:t xml:space="preserve">. </w:t>
      </w:r>
    </w:p>
    <w:p w:rsidR="00680096" w:rsidRPr="007703FF" w:rsidRDefault="00680096" w:rsidP="00680096">
      <w:pPr>
        <w:ind w:left="284"/>
        <w:jc w:val="both"/>
        <w:rPr>
          <w:rFonts w:cs="Arial"/>
          <w:szCs w:val="22"/>
          <w:lang w:eastAsia="en-US"/>
        </w:rPr>
      </w:pPr>
    </w:p>
    <w:p w:rsidR="00680096" w:rsidRPr="002E1752" w:rsidRDefault="003B1C55" w:rsidP="002E1752">
      <w:pPr>
        <w:jc w:val="both"/>
        <w:rPr>
          <w:rFonts w:cs="Arial"/>
        </w:rPr>
      </w:pPr>
      <w:r>
        <w:rPr>
          <w:rFonts w:cs="Arial"/>
        </w:rPr>
        <w:t>8.7</w:t>
      </w:r>
      <w:r>
        <w:rPr>
          <w:rFonts w:cs="Arial"/>
        </w:rPr>
        <w:tab/>
      </w:r>
      <w:r w:rsidR="00680096" w:rsidRPr="004D11E9">
        <w:rPr>
          <w:rFonts w:cs="Arial"/>
        </w:rPr>
        <w:t xml:space="preserve">Members are asked to note the level of reserves as set out at </w:t>
      </w:r>
      <w:r w:rsidR="00B00C02" w:rsidRPr="005E67C9">
        <w:rPr>
          <w:rFonts w:cs="Arial"/>
          <w:b/>
        </w:rPr>
        <w:t>Appendix D</w:t>
      </w:r>
      <w:r w:rsidR="00680096" w:rsidRPr="005E67C9">
        <w:rPr>
          <w:rFonts w:cs="Arial"/>
          <w:b/>
        </w:rPr>
        <w:t>.</w:t>
      </w:r>
      <w:r w:rsidR="00680096" w:rsidRPr="005E67C9">
        <w:rPr>
          <w:rFonts w:cs="Arial"/>
        </w:rPr>
        <w:t xml:space="preserve"> </w:t>
      </w:r>
    </w:p>
    <w:p w:rsidR="00680096" w:rsidRDefault="00680096" w:rsidP="00680096">
      <w:pPr>
        <w:jc w:val="both"/>
        <w:rPr>
          <w:rFonts w:cs="Arial"/>
        </w:rPr>
      </w:pPr>
    </w:p>
    <w:p w:rsidR="00D23B41" w:rsidRPr="00D23B41" w:rsidRDefault="00D23B41" w:rsidP="00D23B41">
      <w:pPr>
        <w:jc w:val="both"/>
        <w:rPr>
          <w:color w:val="FF0000"/>
        </w:rPr>
      </w:pPr>
    </w:p>
    <w:p w:rsidR="00D23B41" w:rsidRPr="00EC4E16" w:rsidRDefault="00D23B41" w:rsidP="00D23B41">
      <w:pPr>
        <w:spacing w:line="240" w:lineRule="atLeast"/>
        <w:jc w:val="both"/>
        <w:rPr>
          <w:rFonts w:cs="Arial"/>
          <w:b/>
          <w:szCs w:val="22"/>
          <w:lang w:val="x-none" w:eastAsia="x-none"/>
        </w:rPr>
      </w:pPr>
      <w:r w:rsidRPr="00EC4E16">
        <w:rPr>
          <w:rFonts w:cs="Arial"/>
          <w:b/>
          <w:szCs w:val="22"/>
          <w:lang w:val="x-none" w:eastAsia="x-none"/>
        </w:rPr>
        <w:t>Capital Reserves</w:t>
      </w:r>
    </w:p>
    <w:p w:rsidR="00D23B41" w:rsidRPr="00EC4E16" w:rsidRDefault="00D23B41" w:rsidP="00D23B41">
      <w:pPr>
        <w:spacing w:line="240" w:lineRule="atLeast"/>
        <w:jc w:val="both"/>
        <w:rPr>
          <w:rFonts w:cs="Arial"/>
          <w:b/>
          <w:szCs w:val="22"/>
          <w:lang w:val="x-none" w:eastAsia="x-none"/>
        </w:rPr>
      </w:pPr>
    </w:p>
    <w:p w:rsidR="00D23B41" w:rsidRPr="00EC4E16" w:rsidRDefault="00856821" w:rsidP="002E1752">
      <w:pPr>
        <w:pStyle w:val="ListParagraph"/>
        <w:numPr>
          <w:ilvl w:val="1"/>
          <w:numId w:val="57"/>
        </w:numPr>
        <w:spacing w:after="200" w:line="240" w:lineRule="atLeast"/>
        <w:ind w:left="720" w:hanging="720"/>
        <w:jc w:val="both"/>
        <w:rPr>
          <w:rFonts w:ascii="Arial" w:hAnsi="Arial" w:cs="Arial"/>
          <w:lang w:val="x-none" w:eastAsia="x-none"/>
        </w:rPr>
      </w:pPr>
      <w:r w:rsidRPr="00EC4E16">
        <w:rPr>
          <w:rFonts w:ascii="Arial" w:hAnsi="Arial" w:cs="Arial"/>
          <w:lang w:eastAsia="x-none"/>
        </w:rPr>
        <w:t>R</w:t>
      </w:r>
      <w:r w:rsidR="00D23B41" w:rsidRPr="00EC4E16">
        <w:rPr>
          <w:rFonts w:ascii="Arial" w:hAnsi="Arial" w:cs="Arial"/>
          <w:lang w:eastAsia="x-none"/>
        </w:rPr>
        <w:t>eserves held to finance the Capital Programme</w:t>
      </w:r>
      <w:r w:rsidRPr="00EC4E16">
        <w:rPr>
          <w:rFonts w:ascii="Arial" w:hAnsi="Arial" w:cs="Arial"/>
          <w:lang w:eastAsia="x-none"/>
        </w:rPr>
        <w:t xml:space="preserve"> are set out in the table below</w:t>
      </w:r>
      <w:r w:rsidR="00B61293">
        <w:rPr>
          <w:rFonts w:ascii="Arial" w:hAnsi="Arial" w:cs="Arial"/>
          <w:lang w:eastAsia="x-none"/>
        </w:rPr>
        <w:t xml:space="preserve">. </w:t>
      </w:r>
      <w:r w:rsidR="00D23B41" w:rsidRPr="00EC4E16">
        <w:rPr>
          <w:rFonts w:ascii="Arial" w:hAnsi="Arial" w:cs="Arial"/>
          <w:lang w:val="x-none" w:eastAsia="x-none"/>
        </w:rPr>
        <w:t xml:space="preserve">Capital Reserves were committed within the </w:t>
      </w:r>
      <w:r w:rsidR="00F27E65" w:rsidRPr="00EC4E16">
        <w:rPr>
          <w:rFonts w:ascii="Arial" w:hAnsi="Arial" w:cs="Arial"/>
          <w:lang w:eastAsia="x-none"/>
        </w:rPr>
        <w:t xml:space="preserve">5 year </w:t>
      </w:r>
      <w:r w:rsidR="00D23B41" w:rsidRPr="00EC4E16">
        <w:rPr>
          <w:rFonts w:ascii="Arial" w:hAnsi="Arial" w:cs="Arial"/>
          <w:lang w:val="x-none" w:eastAsia="x-none"/>
        </w:rPr>
        <w:t xml:space="preserve">Capital </w:t>
      </w:r>
      <w:r w:rsidR="00F27E65" w:rsidRPr="00EC4E16">
        <w:rPr>
          <w:rFonts w:ascii="Arial" w:hAnsi="Arial" w:cs="Arial"/>
          <w:lang w:eastAsia="x-none"/>
        </w:rPr>
        <w:t>Strategy for</w:t>
      </w:r>
      <w:r w:rsidR="00D23B41" w:rsidRPr="00EC4E16">
        <w:rPr>
          <w:rFonts w:ascii="Arial" w:hAnsi="Arial" w:cs="Arial"/>
          <w:lang w:val="x-none" w:eastAsia="x-none"/>
        </w:rPr>
        <w:t xml:space="preserve"> 201</w:t>
      </w:r>
      <w:r w:rsidR="00F27E65" w:rsidRPr="00EC4E16">
        <w:rPr>
          <w:rFonts w:ascii="Arial" w:hAnsi="Arial" w:cs="Arial"/>
          <w:lang w:eastAsia="x-none"/>
        </w:rPr>
        <w:t>8</w:t>
      </w:r>
      <w:r w:rsidR="00D23B41" w:rsidRPr="00EC4E16">
        <w:rPr>
          <w:rFonts w:ascii="Arial" w:hAnsi="Arial" w:cs="Arial"/>
          <w:lang w:val="x-none" w:eastAsia="x-none"/>
        </w:rPr>
        <w:t>/1</w:t>
      </w:r>
      <w:r w:rsidR="00F27E65" w:rsidRPr="00EC4E16">
        <w:rPr>
          <w:rFonts w:ascii="Arial" w:hAnsi="Arial" w:cs="Arial"/>
          <w:lang w:eastAsia="x-none"/>
        </w:rPr>
        <w:t>9</w:t>
      </w:r>
      <w:r w:rsidR="00D23B41" w:rsidRPr="00EC4E16">
        <w:rPr>
          <w:rFonts w:ascii="Arial" w:hAnsi="Arial" w:cs="Arial"/>
          <w:lang w:val="x-none" w:eastAsia="x-none"/>
        </w:rPr>
        <w:t xml:space="preserve"> to 20</w:t>
      </w:r>
      <w:r w:rsidR="00F27E65" w:rsidRPr="00EC4E16">
        <w:rPr>
          <w:rFonts w:ascii="Arial" w:hAnsi="Arial" w:cs="Arial"/>
          <w:lang w:eastAsia="x-none"/>
        </w:rPr>
        <w:t>22/23</w:t>
      </w:r>
      <w:r w:rsidR="00D23B41" w:rsidRPr="00EC4E16">
        <w:rPr>
          <w:rFonts w:ascii="Arial" w:hAnsi="Arial" w:cs="Arial"/>
          <w:lang w:val="x-none" w:eastAsia="x-none"/>
        </w:rPr>
        <w:t xml:space="preserve"> </w:t>
      </w:r>
      <w:r w:rsidR="00D23B41" w:rsidRPr="00EC4E16">
        <w:rPr>
          <w:rFonts w:ascii="Arial" w:hAnsi="Arial" w:cs="Arial"/>
          <w:lang w:eastAsia="x-none"/>
        </w:rPr>
        <w:t xml:space="preserve">as approved </w:t>
      </w:r>
      <w:r w:rsidR="00D23B41" w:rsidRPr="00EC4E16">
        <w:rPr>
          <w:rFonts w:ascii="Arial" w:hAnsi="Arial" w:cs="Arial"/>
          <w:lang w:val="x-none" w:eastAsia="x-none"/>
        </w:rPr>
        <w:t xml:space="preserve">in the </w:t>
      </w:r>
      <w:r w:rsidR="009A6710" w:rsidRPr="00EC4E16">
        <w:rPr>
          <w:rFonts w:ascii="Arial" w:hAnsi="Arial" w:cs="Arial"/>
          <w:lang w:eastAsia="x-none"/>
        </w:rPr>
        <w:t>201</w:t>
      </w:r>
      <w:r w:rsidR="00EC4E16">
        <w:rPr>
          <w:rFonts w:ascii="Arial" w:hAnsi="Arial" w:cs="Arial"/>
          <w:lang w:eastAsia="x-none"/>
        </w:rPr>
        <w:t>9</w:t>
      </w:r>
      <w:r w:rsidR="009A6710" w:rsidRPr="00EC4E16">
        <w:rPr>
          <w:rFonts w:ascii="Arial" w:hAnsi="Arial" w:cs="Arial"/>
          <w:lang w:eastAsia="x-none"/>
        </w:rPr>
        <w:t>/</w:t>
      </w:r>
      <w:r w:rsidR="00EC4E16">
        <w:rPr>
          <w:rFonts w:ascii="Arial" w:hAnsi="Arial" w:cs="Arial"/>
          <w:lang w:eastAsia="x-none"/>
        </w:rPr>
        <w:t>20</w:t>
      </w:r>
      <w:r w:rsidR="009A6710" w:rsidRPr="00EC4E16">
        <w:rPr>
          <w:rFonts w:ascii="Arial" w:hAnsi="Arial" w:cs="Arial"/>
          <w:lang w:eastAsia="x-none"/>
        </w:rPr>
        <w:t xml:space="preserve"> Budget and </w:t>
      </w:r>
      <w:r w:rsidR="00D23B41" w:rsidRPr="00EC4E16">
        <w:rPr>
          <w:rFonts w:ascii="Arial" w:hAnsi="Arial" w:cs="Arial"/>
          <w:lang w:eastAsia="x-none"/>
        </w:rPr>
        <w:t>MTFS</w:t>
      </w:r>
      <w:r w:rsidR="009A6710" w:rsidRPr="00EC4E16">
        <w:rPr>
          <w:rFonts w:ascii="Arial" w:hAnsi="Arial" w:cs="Arial"/>
          <w:lang w:eastAsia="x-none"/>
        </w:rPr>
        <w:t xml:space="preserve"> </w:t>
      </w:r>
      <w:r w:rsidR="00D23B41" w:rsidRPr="00EC4E16">
        <w:rPr>
          <w:rFonts w:ascii="Arial" w:hAnsi="Arial" w:cs="Arial"/>
          <w:lang w:val="x-none" w:eastAsia="x-none"/>
        </w:rPr>
        <w:t>report</w:t>
      </w:r>
      <w:r w:rsidR="00D23B41" w:rsidRPr="00EC4E16">
        <w:rPr>
          <w:rFonts w:ascii="Arial" w:hAnsi="Arial" w:cs="Arial"/>
          <w:lang w:eastAsia="x-none"/>
        </w:rPr>
        <w:t>.</w:t>
      </w:r>
    </w:p>
    <w:p w:rsidR="007D4082" w:rsidRPr="006D6606" w:rsidRDefault="007D4082" w:rsidP="007D4082">
      <w:pPr>
        <w:pStyle w:val="ListParagraph"/>
        <w:spacing w:after="200" w:line="240" w:lineRule="atLeast"/>
        <w:jc w:val="both"/>
        <w:rPr>
          <w:rFonts w:ascii="Arial" w:hAnsi="Arial" w:cs="Arial"/>
          <w:color w:val="FF0000"/>
          <w:lang w:eastAsia="x-none"/>
        </w:rPr>
      </w:pPr>
    </w:p>
    <w:tbl>
      <w:tblPr>
        <w:tblW w:w="297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233"/>
        <w:gridCol w:w="1373"/>
        <w:gridCol w:w="1373"/>
      </w:tblGrid>
      <w:tr w:rsidR="00C00E27" w:rsidRPr="006D6606" w:rsidTr="00C00E27">
        <w:trPr>
          <w:jc w:val="center"/>
        </w:trPr>
        <w:tc>
          <w:tcPr>
            <w:tcW w:w="2704" w:type="pct"/>
            <w:shd w:val="clear" w:color="auto" w:fill="D9D9D9" w:themeFill="background1" w:themeFillShade="D9"/>
          </w:tcPr>
          <w:p w:rsidR="00C00E27" w:rsidRPr="00304B11" w:rsidRDefault="00C00E27" w:rsidP="007D4082">
            <w:pPr>
              <w:tabs>
                <w:tab w:val="left" w:pos="549"/>
                <w:tab w:val="left" w:pos="916"/>
                <w:tab w:val="left" w:pos="1268"/>
                <w:tab w:val="right" w:pos="7388"/>
                <w:tab w:val="right" w:pos="8828"/>
              </w:tabs>
              <w:rPr>
                <w:rFonts w:cs="Arial"/>
                <w:b/>
              </w:rPr>
            </w:pPr>
          </w:p>
          <w:p w:rsidR="00C00E27" w:rsidRPr="00304B11" w:rsidRDefault="00C00E27" w:rsidP="007D4082">
            <w:pPr>
              <w:tabs>
                <w:tab w:val="left" w:pos="549"/>
                <w:tab w:val="left" w:pos="916"/>
                <w:tab w:val="left" w:pos="1268"/>
                <w:tab w:val="right" w:pos="7388"/>
                <w:tab w:val="right" w:pos="8828"/>
              </w:tabs>
              <w:rPr>
                <w:rFonts w:cs="Arial"/>
                <w:b/>
              </w:rPr>
            </w:pPr>
          </w:p>
          <w:p w:rsidR="00C00E27" w:rsidRPr="00304B11" w:rsidRDefault="00C00E27" w:rsidP="007D4082">
            <w:pPr>
              <w:tabs>
                <w:tab w:val="left" w:pos="549"/>
                <w:tab w:val="left" w:pos="916"/>
                <w:tab w:val="left" w:pos="1268"/>
                <w:tab w:val="right" w:pos="7388"/>
                <w:tab w:val="right" w:pos="8828"/>
              </w:tabs>
              <w:rPr>
                <w:rFonts w:cs="Arial"/>
                <w:b/>
              </w:rPr>
            </w:pPr>
            <w:r w:rsidRPr="00304B11">
              <w:rPr>
                <w:rFonts w:cs="Arial"/>
                <w:b/>
              </w:rPr>
              <w:t>Capital Reserve</w:t>
            </w:r>
          </w:p>
        </w:tc>
        <w:tc>
          <w:tcPr>
            <w:tcW w:w="1148" w:type="pct"/>
            <w:shd w:val="clear" w:color="auto" w:fill="D9D9D9" w:themeFill="background1" w:themeFillShade="D9"/>
          </w:tcPr>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Balance c/f</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31 March 2018</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£000</w:t>
            </w:r>
          </w:p>
        </w:tc>
        <w:tc>
          <w:tcPr>
            <w:tcW w:w="1148" w:type="pct"/>
            <w:shd w:val="clear" w:color="auto" w:fill="D9D9D9" w:themeFill="background1" w:themeFillShade="D9"/>
          </w:tcPr>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Out-turn Balance</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31 March 2019</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£000</w:t>
            </w:r>
          </w:p>
        </w:tc>
      </w:tr>
      <w:tr w:rsidR="00C00E27" w:rsidRPr="006D6606" w:rsidTr="00C00E27">
        <w:trPr>
          <w:trHeight w:val="671"/>
          <w:jc w:val="center"/>
        </w:trPr>
        <w:tc>
          <w:tcPr>
            <w:tcW w:w="2704" w:type="pct"/>
            <w:vAlign w:val="center"/>
          </w:tcPr>
          <w:p w:rsidR="00C00E27" w:rsidRPr="006D6606" w:rsidRDefault="00C00E27" w:rsidP="00CF230A">
            <w:pPr>
              <w:tabs>
                <w:tab w:val="left" w:pos="549"/>
                <w:tab w:val="left" w:pos="916"/>
                <w:tab w:val="left" w:pos="1268"/>
                <w:tab w:val="right" w:pos="7388"/>
                <w:tab w:val="right" w:pos="8828"/>
              </w:tabs>
              <w:spacing w:after="120"/>
              <w:ind w:right="-146"/>
              <w:rPr>
                <w:rFonts w:cs="Arial"/>
                <w:color w:val="FF0000"/>
                <w:position w:val="-6"/>
                <w:szCs w:val="22"/>
              </w:rPr>
            </w:pPr>
            <w:r w:rsidRPr="00304B11">
              <w:rPr>
                <w:rFonts w:cs="Arial"/>
                <w:szCs w:val="22"/>
                <w:lang w:val="en-US" w:eastAsia="en-US"/>
              </w:rPr>
              <w:t>Capital Receipts Reserve</w:t>
            </w:r>
          </w:p>
        </w:tc>
        <w:tc>
          <w:tcPr>
            <w:tcW w:w="1148" w:type="pct"/>
            <w:vAlign w:val="center"/>
          </w:tcPr>
          <w:p w:rsidR="00C00E27" w:rsidRPr="00304B11" w:rsidRDefault="00C00E27" w:rsidP="00304B11">
            <w:pPr>
              <w:ind w:right="340"/>
              <w:jc w:val="center"/>
              <w:rPr>
                <w:rFonts w:cs="Arial"/>
                <w:position w:val="-6"/>
                <w:szCs w:val="22"/>
              </w:rPr>
            </w:pPr>
            <w:r w:rsidRPr="00304B11">
              <w:rPr>
                <w:rFonts w:cs="Arial"/>
                <w:position w:val="-6"/>
                <w:szCs w:val="22"/>
              </w:rPr>
              <w:t xml:space="preserve">      596</w:t>
            </w:r>
          </w:p>
        </w:tc>
        <w:tc>
          <w:tcPr>
            <w:tcW w:w="1148" w:type="pct"/>
            <w:vAlign w:val="center"/>
          </w:tcPr>
          <w:p w:rsidR="00C00E27" w:rsidRPr="00304B11" w:rsidRDefault="00C00E27" w:rsidP="00767ED1">
            <w:pPr>
              <w:ind w:right="340"/>
              <w:jc w:val="right"/>
              <w:rPr>
                <w:rFonts w:cs="Arial"/>
                <w:position w:val="-6"/>
                <w:szCs w:val="22"/>
              </w:rPr>
            </w:pPr>
            <w:r>
              <w:rPr>
                <w:rFonts w:cs="Arial"/>
                <w:position w:val="-6"/>
                <w:szCs w:val="22"/>
              </w:rPr>
              <w:t>0</w:t>
            </w:r>
          </w:p>
        </w:tc>
      </w:tr>
      <w:tr w:rsidR="00C00E27" w:rsidRPr="006D6606" w:rsidTr="00C00E27">
        <w:trPr>
          <w:trHeight w:val="695"/>
          <w:jc w:val="center"/>
        </w:trPr>
        <w:tc>
          <w:tcPr>
            <w:tcW w:w="2704" w:type="pct"/>
            <w:vAlign w:val="center"/>
          </w:tcPr>
          <w:p w:rsidR="00C00E27" w:rsidRPr="00304B11" w:rsidRDefault="00C00E27" w:rsidP="00304B11">
            <w:pPr>
              <w:tabs>
                <w:tab w:val="left" w:pos="549"/>
                <w:tab w:val="left" w:pos="916"/>
                <w:tab w:val="left" w:pos="1268"/>
                <w:tab w:val="right" w:pos="7388"/>
                <w:tab w:val="right" w:pos="8828"/>
              </w:tabs>
              <w:spacing w:after="120"/>
              <w:ind w:right="341"/>
              <w:rPr>
                <w:rFonts w:cs="Arial"/>
                <w:szCs w:val="22"/>
              </w:rPr>
            </w:pPr>
            <w:r w:rsidRPr="00304B11">
              <w:rPr>
                <w:rFonts w:cs="Arial"/>
                <w:szCs w:val="22"/>
              </w:rPr>
              <w:t>Earmarked Receipts</w:t>
            </w:r>
          </w:p>
        </w:tc>
        <w:tc>
          <w:tcPr>
            <w:tcW w:w="1148" w:type="pct"/>
            <w:vAlign w:val="center"/>
          </w:tcPr>
          <w:p w:rsidR="00C00E27" w:rsidRPr="00304B11" w:rsidRDefault="00C00E27" w:rsidP="00304B11">
            <w:pPr>
              <w:tabs>
                <w:tab w:val="left" w:pos="549"/>
                <w:tab w:val="left" w:pos="916"/>
                <w:tab w:val="left" w:pos="1268"/>
                <w:tab w:val="right" w:pos="7388"/>
                <w:tab w:val="right" w:pos="8828"/>
              </w:tabs>
              <w:spacing w:after="120"/>
              <w:ind w:right="341"/>
              <w:jc w:val="right"/>
              <w:rPr>
                <w:rFonts w:cs="Arial"/>
                <w:szCs w:val="22"/>
              </w:rPr>
            </w:pPr>
            <w:r w:rsidRPr="00304B11">
              <w:rPr>
                <w:rFonts w:cs="Arial"/>
                <w:szCs w:val="22"/>
              </w:rPr>
              <w:t>448</w:t>
            </w:r>
          </w:p>
        </w:tc>
        <w:tc>
          <w:tcPr>
            <w:tcW w:w="1148" w:type="pct"/>
            <w:vAlign w:val="center"/>
          </w:tcPr>
          <w:p w:rsidR="00C00E27" w:rsidRPr="00304B11" w:rsidRDefault="00C00E27" w:rsidP="00767ED1">
            <w:pPr>
              <w:tabs>
                <w:tab w:val="left" w:pos="549"/>
                <w:tab w:val="left" w:pos="916"/>
                <w:tab w:val="left" w:pos="1268"/>
                <w:tab w:val="right" w:pos="7388"/>
                <w:tab w:val="right" w:pos="8828"/>
              </w:tabs>
              <w:spacing w:after="120"/>
              <w:ind w:right="341"/>
              <w:jc w:val="right"/>
              <w:rPr>
                <w:rFonts w:cs="Arial"/>
                <w:szCs w:val="22"/>
              </w:rPr>
            </w:pPr>
            <w:r>
              <w:rPr>
                <w:rFonts w:cs="Arial"/>
                <w:szCs w:val="22"/>
              </w:rPr>
              <w:t>0</w:t>
            </w:r>
          </w:p>
        </w:tc>
      </w:tr>
      <w:tr w:rsidR="00C00E27" w:rsidRPr="006D6606" w:rsidTr="00C00E27">
        <w:trPr>
          <w:trHeight w:val="705"/>
          <w:jc w:val="center"/>
        </w:trPr>
        <w:tc>
          <w:tcPr>
            <w:tcW w:w="2704" w:type="pct"/>
            <w:vAlign w:val="center"/>
          </w:tcPr>
          <w:p w:rsidR="00C00E27" w:rsidRPr="00304B11" w:rsidRDefault="00C00E27" w:rsidP="00304B11">
            <w:pPr>
              <w:tabs>
                <w:tab w:val="left" w:pos="549"/>
                <w:tab w:val="left" w:pos="916"/>
                <w:tab w:val="left" w:pos="1268"/>
                <w:tab w:val="right" w:pos="7388"/>
                <w:tab w:val="right" w:pos="8828"/>
              </w:tabs>
              <w:spacing w:after="120"/>
              <w:ind w:right="-146"/>
              <w:rPr>
                <w:rFonts w:cs="Arial"/>
                <w:szCs w:val="22"/>
              </w:rPr>
            </w:pPr>
            <w:r w:rsidRPr="00304B11">
              <w:rPr>
                <w:rFonts w:cs="Arial"/>
                <w:szCs w:val="22"/>
              </w:rPr>
              <w:t>Preserved Right to Buy Receipts</w:t>
            </w:r>
          </w:p>
        </w:tc>
        <w:tc>
          <w:tcPr>
            <w:tcW w:w="1148" w:type="pct"/>
            <w:vAlign w:val="center"/>
          </w:tcPr>
          <w:p w:rsidR="00C00E27" w:rsidRPr="00304B11" w:rsidRDefault="00C00E27" w:rsidP="00304B11">
            <w:pPr>
              <w:tabs>
                <w:tab w:val="left" w:pos="549"/>
                <w:tab w:val="left" w:pos="916"/>
                <w:tab w:val="left" w:pos="1268"/>
                <w:tab w:val="right" w:pos="7388"/>
                <w:tab w:val="right" w:pos="8828"/>
              </w:tabs>
              <w:spacing w:after="120"/>
              <w:ind w:right="341"/>
              <w:jc w:val="right"/>
              <w:rPr>
                <w:rFonts w:cs="Arial"/>
                <w:szCs w:val="22"/>
              </w:rPr>
            </w:pPr>
            <w:r w:rsidRPr="00304B11">
              <w:rPr>
                <w:rFonts w:cs="Arial"/>
                <w:szCs w:val="22"/>
              </w:rPr>
              <w:t>889</w:t>
            </w:r>
          </w:p>
        </w:tc>
        <w:tc>
          <w:tcPr>
            <w:tcW w:w="1148" w:type="pct"/>
            <w:vAlign w:val="center"/>
          </w:tcPr>
          <w:p w:rsidR="00C00E27" w:rsidRPr="00304B11" w:rsidRDefault="00C00E27" w:rsidP="00767ED1">
            <w:pPr>
              <w:tabs>
                <w:tab w:val="left" w:pos="549"/>
                <w:tab w:val="left" w:pos="916"/>
                <w:tab w:val="left" w:pos="1268"/>
                <w:tab w:val="right" w:pos="7388"/>
                <w:tab w:val="right" w:pos="8828"/>
              </w:tabs>
              <w:spacing w:after="120"/>
              <w:ind w:right="341"/>
              <w:jc w:val="right"/>
              <w:rPr>
                <w:rFonts w:cs="Arial"/>
                <w:szCs w:val="22"/>
              </w:rPr>
            </w:pPr>
            <w:r>
              <w:rPr>
                <w:rFonts w:cs="Arial"/>
                <w:szCs w:val="22"/>
              </w:rPr>
              <w:t>826</w:t>
            </w:r>
          </w:p>
        </w:tc>
      </w:tr>
      <w:tr w:rsidR="00C00E27" w:rsidRPr="006D6606" w:rsidTr="00C00E27">
        <w:trPr>
          <w:trHeight w:val="689"/>
          <w:jc w:val="center"/>
        </w:trPr>
        <w:tc>
          <w:tcPr>
            <w:tcW w:w="2704" w:type="pct"/>
            <w:shd w:val="clear" w:color="auto" w:fill="E0E0E0"/>
            <w:vAlign w:val="center"/>
          </w:tcPr>
          <w:p w:rsidR="00C00E27" w:rsidRPr="00304B11" w:rsidRDefault="00C00E27" w:rsidP="00304B11">
            <w:pPr>
              <w:tabs>
                <w:tab w:val="left" w:pos="549"/>
                <w:tab w:val="left" w:pos="916"/>
                <w:tab w:val="left" w:pos="1268"/>
                <w:tab w:val="right" w:pos="7388"/>
                <w:tab w:val="right" w:pos="8828"/>
              </w:tabs>
              <w:spacing w:after="120"/>
              <w:rPr>
                <w:rFonts w:cs="Arial"/>
                <w:b/>
                <w:szCs w:val="22"/>
              </w:rPr>
            </w:pPr>
            <w:r w:rsidRPr="00304B11">
              <w:rPr>
                <w:rFonts w:cs="Arial"/>
                <w:b/>
                <w:szCs w:val="22"/>
              </w:rPr>
              <w:t>Total</w:t>
            </w:r>
          </w:p>
        </w:tc>
        <w:tc>
          <w:tcPr>
            <w:tcW w:w="1148" w:type="pct"/>
            <w:shd w:val="clear" w:color="auto" w:fill="E0E0E0"/>
            <w:vAlign w:val="center"/>
          </w:tcPr>
          <w:p w:rsidR="00C00E27" w:rsidRPr="00304B11" w:rsidRDefault="00C00E27" w:rsidP="00304B11">
            <w:pPr>
              <w:tabs>
                <w:tab w:val="left" w:pos="1238"/>
                <w:tab w:val="left" w:pos="1268"/>
                <w:tab w:val="right" w:pos="7388"/>
                <w:tab w:val="right" w:pos="8828"/>
              </w:tabs>
              <w:spacing w:after="120"/>
              <w:ind w:right="341"/>
              <w:jc w:val="right"/>
              <w:rPr>
                <w:rFonts w:cs="Arial"/>
                <w:b/>
                <w:szCs w:val="22"/>
              </w:rPr>
            </w:pPr>
            <w:r w:rsidRPr="00304B11">
              <w:rPr>
                <w:rFonts w:cs="Arial"/>
                <w:b/>
                <w:szCs w:val="22"/>
              </w:rPr>
              <w:t>1,933</w:t>
            </w:r>
          </w:p>
        </w:tc>
        <w:tc>
          <w:tcPr>
            <w:tcW w:w="1148" w:type="pct"/>
            <w:shd w:val="clear" w:color="auto" w:fill="E0E0E0"/>
            <w:vAlign w:val="center"/>
          </w:tcPr>
          <w:p w:rsidR="00C00E27" w:rsidRPr="00304B11" w:rsidRDefault="00C00E27" w:rsidP="002B6D60">
            <w:pPr>
              <w:tabs>
                <w:tab w:val="left" w:pos="549"/>
                <w:tab w:val="left" w:pos="916"/>
                <w:tab w:val="left" w:pos="1268"/>
                <w:tab w:val="right" w:pos="7388"/>
                <w:tab w:val="right" w:pos="8828"/>
              </w:tabs>
              <w:spacing w:after="120"/>
              <w:ind w:right="341"/>
              <w:jc w:val="right"/>
              <w:rPr>
                <w:rFonts w:cs="Arial"/>
                <w:b/>
                <w:szCs w:val="22"/>
              </w:rPr>
            </w:pPr>
            <w:r>
              <w:rPr>
                <w:rFonts w:cs="Arial"/>
                <w:b/>
                <w:szCs w:val="22"/>
              </w:rPr>
              <w:t>826</w:t>
            </w:r>
          </w:p>
        </w:tc>
      </w:tr>
    </w:tbl>
    <w:p w:rsidR="007D4082" w:rsidRDefault="007D4082" w:rsidP="007D4082">
      <w:pPr>
        <w:jc w:val="both"/>
        <w:rPr>
          <w:b/>
          <w:color w:val="FF0000"/>
        </w:rPr>
      </w:pPr>
    </w:p>
    <w:p w:rsidR="00C00E27" w:rsidRDefault="00C00E27" w:rsidP="007D4082">
      <w:pPr>
        <w:jc w:val="both"/>
        <w:rPr>
          <w:b/>
          <w:color w:val="FF0000"/>
        </w:rPr>
      </w:pPr>
    </w:p>
    <w:p w:rsidR="00C00E27" w:rsidRPr="00D23B41" w:rsidRDefault="00C00E27" w:rsidP="007D4082">
      <w:pPr>
        <w:jc w:val="both"/>
        <w:rPr>
          <w:b/>
          <w:color w:val="FF0000"/>
        </w:rPr>
      </w:pPr>
    </w:p>
    <w:p w:rsidR="001938D6" w:rsidRPr="00792A2B" w:rsidRDefault="003B1C55" w:rsidP="002F5C5E">
      <w:pPr>
        <w:rPr>
          <w:b/>
          <w:szCs w:val="22"/>
        </w:rPr>
      </w:pPr>
      <w:r>
        <w:rPr>
          <w:b/>
          <w:szCs w:val="22"/>
        </w:rPr>
        <w:t>9</w:t>
      </w:r>
      <w:r>
        <w:rPr>
          <w:b/>
          <w:szCs w:val="22"/>
        </w:rPr>
        <w:tab/>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59200D" w:rsidRDefault="003B1C55" w:rsidP="002F5C5E">
      <w:pPr>
        <w:rPr>
          <w:rFonts w:cs="Arial"/>
          <w:i/>
        </w:rPr>
      </w:pPr>
      <w:r>
        <w:rPr>
          <w:szCs w:val="22"/>
        </w:rPr>
        <w:t>9</w:t>
      </w:r>
      <w:r w:rsidR="001938D6" w:rsidRPr="0059200D">
        <w:rPr>
          <w:szCs w:val="22"/>
        </w:rPr>
        <w:t>.1</w:t>
      </w:r>
      <w:r>
        <w:rPr>
          <w:b/>
          <w:szCs w:val="22"/>
        </w:rPr>
        <w:tab/>
      </w:r>
      <w:r w:rsidR="00D87819" w:rsidRPr="0059200D">
        <w:rPr>
          <w:szCs w:val="22"/>
        </w:rPr>
        <w:t>This report is for information only and therefore t</w:t>
      </w:r>
      <w:r w:rsidR="00D87819" w:rsidRPr="0059200D">
        <w:rPr>
          <w:rFonts w:cs="Arial"/>
        </w:rPr>
        <w:t>here has been no consultation undertaken.</w:t>
      </w:r>
      <w:r w:rsidR="00D87819" w:rsidRPr="0059200D">
        <w:rPr>
          <w:rFonts w:cs="Arial"/>
          <w:i/>
        </w:rPr>
        <w:t xml:space="preserve"> </w:t>
      </w:r>
    </w:p>
    <w:p w:rsidR="00F43895" w:rsidRPr="00792A2B" w:rsidRDefault="00F43895" w:rsidP="002F5C5E">
      <w:pPr>
        <w:rPr>
          <w:rFonts w:cs="Arial"/>
          <w:i/>
          <w:color w:val="2E74B5"/>
        </w:rPr>
      </w:pPr>
    </w:p>
    <w:p w:rsidR="00F43895" w:rsidRPr="002E1752" w:rsidRDefault="003B1C55" w:rsidP="004D11E9">
      <w:pPr>
        <w:rPr>
          <w:b/>
          <w:szCs w:val="22"/>
        </w:rPr>
      </w:pPr>
      <w:r>
        <w:rPr>
          <w:b/>
          <w:szCs w:val="22"/>
        </w:rPr>
        <w:t>10</w:t>
      </w:r>
      <w:r w:rsidRPr="002E1752">
        <w:rPr>
          <w:b/>
          <w:szCs w:val="22"/>
        </w:rPr>
        <w:tab/>
      </w:r>
      <w:r w:rsidR="00F43895" w:rsidRPr="002E1752">
        <w:rPr>
          <w:rFonts w:cs="Arial"/>
          <w:b/>
          <w:caps/>
        </w:rPr>
        <w:t>Financial implications</w:t>
      </w:r>
    </w:p>
    <w:p w:rsidR="00F43895" w:rsidRPr="00792A2B" w:rsidRDefault="00F43895" w:rsidP="00F43895">
      <w:pPr>
        <w:ind w:left="567"/>
        <w:rPr>
          <w:rFonts w:cs="Arial"/>
          <w:b/>
          <w:caps/>
        </w:rPr>
      </w:pPr>
    </w:p>
    <w:p w:rsidR="00F43895" w:rsidRPr="00F04DC4" w:rsidRDefault="003B1C55" w:rsidP="002E1752">
      <w:pPr>
        <w:rPr>
          <w:rFonts w:cs="Arial"/>
          <w:caps/>
        </w:rPr>
      </w:pPr>
      <w:r w:rsidRPr="002E1752">
        <w:rPr>
          <w:rFonts w:cs="Arial"/>
        </w:rPr>
        <w:t>10.1</w:t>
      </w:r>
      <w:r>
        <w:rPr>
          <w:rFonts w:cs="Arial"/>
          <w:i/>
          <w:color w:val="2E74B5"/>
        </w:rPr>
        <w:tab/>
      </w:r>
      <w:r w:rsidR="00F04DC4" w:rsidRPr="00F04DC4">
        <w:rPr>
          <w:rFonts w:cs="Arial"/>
        </w:rPr>
        <w:t>As set out in the report.</w:t>
      </w:r>
    </w:p>
    <w:p w:rsidR="00F43895" w:rsidRPr="00792A2B" w:rsidRDefault="00F43895" w:rsidP="00F43895">
      <w:pPr>
        <w:rPr>
          <w:rFonts w:cs="Arial"/>
          <w:b/>
          <w:color w:val="2E74B5"/>
        </w:rPr>
      </w:pPr>
    </w:p>
    <w:p w:rsidR="00F43895" w:rsidRPr="001E6A56" w:rsidRDefault="00F43895" w:rsidP="00BE2C53">
      <w:pPr>
        <w:pStyle w:val="ListParagraph"/>
        <w:numPr>
          <w:ilvl w:val="0"/>
          <w:numId w:val="58"/>
        </w:numPr>
        <w:ind w:hanging="720"/>
        <w:rPr>
          <w:rFonts w:cs="Arial"/>
          <w:b/>
          <w:caps/>
        </w:rPr>
      </w:pPr>
      <w:r w:rsidRPr="001E6A56">
        <w:rPr>
          <w:rFonts w:ascii="Arial" w:hAnsi="Arial" w:cs="Arial"/>
          <w:b/>
          <w:caps/>
        </w:rPr>
        <w:t>LEGAL IMPLICATIONS</w:t>
      </w:r>
    </w:p>
    <w:p w:rsidR="00F43895" w:rsidRPr="002E1752" w:rsidRDefault="003B1C55" w:rsidP="002E1752">
      <w:pPr>
        <w:rPr>
          <w:rFonts w:cs="Arial"/>
        </w:rPr>
      </w:pPr>
      <w:r w:rsidRPr="002E1752">
        <w:rPr>
          <w:rFonts w:cs="Arial"/>
          <w:caps/>
        </w:rPr>
        <w:lastRenderedPageBreak/>
        <w:t>11.1</w:t>
      </w:r>
      <w:r w:rsidR="00F43895" w:rsidRPr="00792A2B">
        <w:rPr>
          <w:rFonts w:cs="Arial"/>
          <w:b/>
          <w:caps/>
        </w:rPr>
        <w:t xml:space="preserve">  </w:t>
      </w:r>
      <w:r>
        <w:rPr>
          <w:rFonts w:cs="Arial"/>
          <w:b/>
          <w:caps/>
        </w:rPr>
        <w:tab/>
      </w:r>
      <w:r w:rsidR="009F7748" w:rsidRPr="0059200D">
        <w:rPr>
          <w:rFonts w:cs="Arial"/>
        </w:rPr>
        <w:t xml:space="preserve">Please see comments of the Monitoring Officer below. </w:t>
      </w:r>
    </w:p>
    <w:p w:rsidR="00F43895" w:rsidRPr="00792A2B" w:rsidRDefault="00F43895" w:rsidP="00F43895">
      <w:pPr>
        <w:rPr>
          <w:rFonts w:cs="Arial"/>
          <w:b/>
          <w:caps/>
        </w:rPr>
      </w:pPr>
    </w:p>
    <w:p w:rsidR="00F43895" w:rsidRPr="00792A2B" w:rsidRDefault="00F43895" w:rsidP="00F43895">
      <w:pPr>
        <w:rPr>
          <w:rFonts w:cs="Arial"/>
          <w:b/>
        </w:rPr>
      </w:pPr>
      <w:r w:rsidRPr="00792A2B">
        <w:rPr>
          <w:rFonts w:cs="Arial"/>
          <w:b/>
        </w:rPr>
        <w:t>1</w:t>
      </w:r>
      <w:r w:rsidR="003B1C55">
        <w:rPr>
          <w:rFonts w:cs="Arial"/>
          <w:b/>
        </w:rPr>
        <w:t>2</w:t>
      </w:r>
      <w:r w:rsidRPr="00792A2B">
        <w:rPr>
          <w:rFonts w:cs="Arial"/>
          <w:b/>
        </w:rPr>
        <w:t xml:space="preserve">  </w:t>
      </w:r>
      <w:r w:rsidR="003B1C55">
        <w:rPr>
          <w:rFonts w:cs="Arial"/>
          <w:b/>
        </w:rPr>
        <w:tab/>
      </w:r>
      <w:r w:rsidRPr="00792A2B">
        <w:rPr>
          <w:rFonts w:cs="Arial"/>
          <w:b/>
        </w:rPr>
        <w:t>COMMENTS OF THE STATUTORY FINANCE OFFICER</w:t>
      </w:r>
    </w:p>
    <w:p w:rsidR="00BE2A3F" w:rsidRPr="00792A2B" w:rsidRDefault="00BE2A3F" w:rsidP="00F43895">
      <w:pPr>
        <w:rPr>
          <w:rFonts w:cs="Arial"/>
          <w:b/>
        </w:rPr>
      </w:pPr>
    </w:p>
    <w:p w:rsidR="00D87819" w:rsidRPr="006D6606" w:rsidRDefault="003B1C55" w:rsidP="002E1752">
      <w:pPr>
        <w:ind w:left="720" w:hanging="720"/>
        <w:rPr>
          <w:rFonts w:cs="Arial"/>
          <w:i/>
          <w:color w:val="FF0000"/>
        </w:rPr>
      </w:pPr>
      <w:r>
        <w:rPr>
          <w:rFonts w:cs="Arial"/>
        </w:rPr>
        <w:t>12.1</w:t>
      </w:r>
      <w:r>
        <w:rPr>
          <w:rFonts w:cs="Arial"/>
        </w:rPr>
        <w:tab/>
      </w:r>
      <w:r w:rsidR="00856821" w:rsidRPr="00EC4E16">
        <w:rPr>
          <w:rFonts w:cs="Arial"/>
        </w:rPr>
        <w:t xml:space="preserve">The </w:t>
      </w:r>
      <w:r w:rsidR="00095DD7" w:rsidRPr="00EC4E16">
        <w:rPr>
          <w:rFonts w:cs="Arial"/>
        </w:rPr>
        <w:t>final out turn</w:t>
      </w:r>
      <w:r w:rsidR="00856821" w:rsidRPr="00EC4E16">
        <w:rPr>
          <w:rFonts w:cs="Arial"/>
        </w:rPr>
        <w:t xml:space="preserve"> position shows a</w:t>
      </w:r>
      <w:r w:rsidR="00EC4E16">
        <w:rPr>
          <w:rFonts w:cs="Arial"/>
        </w:rPr>
        <w:t xml:space="preserve">n overall </w:t>
      </w:r>
      <w:r w:rsidR="00856821" w:rsidRPr="00EC4E16">
        <w:rPr>
          <w:rFonts w:cs="Arial"/>
        </w:rPr>
        <w:t xml:space="preserve">underspend on revenue, </w:t>
      </w:r>
      <w:r w:rsidR="0099546F">
        <w:rPr>
          <w:rFonts w:cs="Arial"/>
        </w:rPr>
        <w:t xml:space="preserve">which has resulted in a reduction in the use of earmarked reserves and a contribution to </w:t>
      </w:r>
      <w:r w:rsidR="0095552A">
        <w:rPr>
          <w:rFonts w:cs="Arial"/>
        </w:rPr>
        <w:t>g</w:t>
      </w:r>
      <w:r w:rsidR="0099546F">
        <w:rPr>
          <w:rFonts w:cs="Arial"/>
        </w:rPr>
        <w:t xml:space="preserve">eneral </w:t>
      </w:r>
      <w:r w:rsidR="0095552A">
        <w:rPr>
          <w:rFonts w:cs="Arial"/>
        </w:rPr>
        <w:t>r</w:t>
      </w:r>
      <w:r w:rsidR="0099546F">
        <w:rPr>
          <w:rFonts w:cs="Arial"/>
        </w:rPr>
        <w:t>eserves</w:t>
      </w:r>
      <w:r w:rsidR="0095552A">
        <w:rPr>
          <w:rFonts w:cs="Arial"/>
        </w:rPr>
        <w:t xml:space="preserve">. </w:t>
      </w:r>
      <w:r w:rsidR="0095552A" w:rsidRPr="00EC4E16">
        <w:rPr>
          <w:rFonts w:cs="Arial"/>
        </w:rPr>
        <w:t xml:space="preserve">The approach to </w:t>
      </w:r>
      <w:r w:rsidR="0095552A">
        <w:rPr>
          <w:rFonts w:cs="Arial"/>
        </w:rPr>
        <w:t xml:space="preserve">managing the council’s </w:t>
      </w:r>
      <w:r w:rsidR="0095552A" w:rsidRPr="00EC4E16">
        <w:rPr>
          <w:rFonts w:cs="Arial"/>
        </w:rPr>
        <w:t xml:space="preserve">reserves </w:t>
      </w:r>
      <w:r w:rsidR="0095552A">
        <w:rPr>
          <w:rFonts w:cs="Arial"/>
        </w:rPr>
        <w:t xml:space="preserve">is to mitigate any </w:t>
      </w:r>
      <w:r w:rsidR="0095552A" w:rsidRPr="00EC4E16">
        <w:rPr>
          <w:rFonts w:cs="Arial"/>
        </w:rPr>
        <w:t>risk</w:t>
      </w:r>
      <w:r w:rsidR="0095552A">
        <w:rPr>
          <w:rFonts w:cs="Arial"/>
        </w:rPr>
        <w:t>s</w:t>
      </w:r>
      <w:r w:rsidR="0095552A" w:rsidRPr="00EC4E16">
        <w:rPr>
          <w:rFonts w:cs="Arial"/>
        </w:rPr>
        <w:t xml:space="preserve"> to the council of managing unplanned expenditure and changes in funding.</w:t>
      </w:r>
      <w:r w:rsidR="0095552A" w:rsidRPr="00EC4E16" w:rsidDel="00D87819">
        <w:rPr>
          <w:rFonts w:cs="Arial"/>
          <w:i/>
        </w:rPr>
        <w:t xml:space="preserve"> </w:t>
      </w:r>
      <w:r w:rsidR="00095DD7" w:rsidRPr="00EC4E16">
        <w:rPr>
          <w:rFonts w:cs="Arial"/>
        </w:rPr>
        <w:t>The position on the capital programme shows an underspend</w:t>
      </w:r>
      <w:r w:rsidR="00E33858">
        <w:rPr>
          <w:rFonts w:cs="Arial"/>
        </w:rPr>
        <w:t>ing</w:t>
      </w:r>
      <w:r w:rsidR="00095DD7" w:rsidRPr="00EC4E16">
        <w:rPr>
          <w:rFonts w:cs="Arial"/>
        </w:rPr>
        <w:t xml:space="preserve"> </w:t>
      </w:r>
      <w:r w:rsidR="00E33858">
        <w:rPr>
          <w:rFonts w:cs="Arial"/>
        </w:rPr>
        <w:t xml:space="preserve">against budget </w:t>
      </w:r>
      <w:r w:rsidR="00095DD7" w:rsidRPr="00EC4E16">
        <w:rPr>
          <w:rFonts w:cs="Arial"/>
        </w:rPr>
        <w:t xml:space="preserve">which </w:t>
      </w:r>
      <w:r w:rsidR="0095552A">
        <w:rPr>
          <w:rFonts w:cs="Arial"/>
        </w:rPr>
        <w:t>i</w:t>
      </w:r>
      <w:r w:rsidR="00095DD7" w:rsidRPr="00EC4E16">
        <w:rPr>
          <w:rFonts w:cs="Arial"/>
        </w:rPr>
        <w:t xml:space="preserve">s </w:t>
      </w:r>
      <w:r w:rsidR="0095552A">
        <w:rPr>
          <w:rFonts w:cs="Arial"/>
        </w:rPr>
        <w:t xml:space="preserve">almost entirely </w:t>
      </w:r>
      <w:r w:rsidR="00095DD7" w:rsidRPr="00EC4E16">
        <w:rPr>
          <w:rFonts w:cs="Arial"/>
        </w:rPr>
        <w:t xml:space="preserve">related to the planned completion of projects in the next financial year.  The approach set out in the report enables these projects to be completed.  </w:t>
      </w:r>
      <w:r w:rsidR="0095552A" w:rsidRPr="00EC4E16">
        <w:rPr>
          <w:rFonts w:cs="Arial"/>
        </w:rPr>
        <w:t>Where appropriate, the variances in 2018/19 will be incorporated into the medium term financial strategy for 201</w:t>
      </w:r>
      <w:r w:rsidR="0095552A">
        <w:rPr>
          <w:rFonts w:cs="Arial"/>
        </w:rPr>
        <w:t>9</w:t>
      </w:r>
      <w:r w:rsidR="0095552A" w:rsidRPr="00EC4E16">
        <w:rPr>
          <w:rFonts w:cs="Arial"/>
        </w:rPr>
        <w:t>/</w:t>
      </w:r>
      <w:r w:rsidR="0095552A">
        <w:rPr>
          <w:rFonts w:cs="Arial"/>
        </w:rPr>
        <w:t>20</w:t>
      </w:r>
      <w:r w:rsidR="0095552A" w:rsidRPr="00EC4E16">
        <w:rPr>
          <w:rFonts w:cs="Arial"/>
        </w:rPr>
        <w:t xml:space="preserve"> and future years.  </w:t>
      </w:r>
    </w:p>
    <w:p w:rsidR="00F43895" w:rsidRPr="006D6606" w:rsidRDefault="00F43895" w:rsidP="00F43895">
      <w:pPr>
        <w:rPr>
          <w:rFonts w:cs="Arial"/>
          <w:b/>
          <w:i/>
          <w:color w:val="FF0000"/>
        </w:rPr>
      </w:pPr>
    </w:p>
    <w:p w:rsidR="00F43895" w:rsidRPr="00792A2B" w:rsidRDefault="00BE2A3F" w:rsidP="0059200D">
      <w:pPr>
        <w:ind w:left="720" w:hanging="720"/>
        <w:rPr>
          <w:rFonts w:cs="Arial"/>
          <w:b/>
        </w:rPr>
      </w:pPr>
      <w:r w:rsidRPr="00792A2B">
        <w:rPr>
          <w:rFonts w:cs="Arial"/>
          <w:b/>
        </w:rPr>
        <w:t>1</w:t>
      </w:r>
      <w:r w:rsidR="003B1C55">
        <w:rPr>
          <w:rFonts w:cs="Arial"/>
          <w:b/>
        </w:rPr>
        <w:t>3</w:t>
      </w:r>
      <w:r w:rsidR="003B1C55">
        <w:rPr>
          <w:rFonts w:cs="Arial"/>
          <w:b/>
        </w:rPr>
        <w:tab/>
      </w:r>
      <w:r w:rsidR="00F43895" w:rsidRPr="00792A2B">
        <w:rPr>
          <w:rFonts w:cs="Arial"/>
          <w:b/>
        </w:rPr>
        <w:t>COMMENTS OF THE MONITORING OFFICER</w:t>
      </w:r>
    </w:p>
    <w:p w:rsidR="00F43895" w:rsidRPr="00792A2B" w:rsidRDefault="00F43895" w:rsidP="00F43895">
      <w:pPr>
        <w:ind w:left="567"/>
        <w:rPr>
          <w:rFonts w:cs="Arial"/>
          <w:b/>
        </w:rPr>
      </w:pPr>
    </w:p>
    <w:p w:rsidR="00F90C4E" w:rsidRDefault="003B1C55" w:rsidP="002E1752">
      <w:pPr>
        <w:ind w:left="720" w:hanging="720"/>
        <w:rPr>
          <w:rFonts w:cs="Arial"/>
        </w:rPr>
      </w:pPr>
      <w:r>
        <w:rPr>
          <w:rFonts w:cs="Arial"/>
        </w:rPr>
        <w:t>13.1</w:t>
      </w:r>
      <w:r>
        <w:rPr>
          <w:rFonts w:cs="Arial"/>
        </w:rPr>
        <w:tab/>
      </w:r>
      <w:r w:rsidR="00C70787">
        <w:rPr>
          <w:rFonts w:cs="Arial"/>
        </w:rPr>
        <w:t xml:space="preserve">Clearly it is imperative that the council should report openly and comprehensively on its budget out-turn. Residents have a right to know how we spend our money. Likewise they need to know how much revenue we generate. This is in an age where great emphasis is (quite rightly) placed on transparency. </w:t>
      </w:r>
    </w:p>
    <w:p w:rsidR="00F90C4E" w:rsidRPr="0059200D" w:rsidRDefault="00F90C4E" w:rsidP="002E1752">
      <w:pPr>
        <w:ind w:left="720" w:hanging="720"/>
        <w:rPr>
          <w:szCs w:val="22"/>
        </w:rPr>
      </w:pPr>
    </w:p>
    <w:p w:rsidR="00D87819" w:rsidRDefault="00D87819" w:rsidP="000B5251">
      <w:pPr>
        <w:rPr>
          <w:b/>
          <w:szCs w:val="22"/>
        </w:rPr>
      </w:pPr>
    </w:p>
    <w:p w:rsidR="000B5251" w:rsidRPr="00792A2B" w:rsidRDefault="000B5251" w:rsidP="000B5251">
      <w:pPr>
        <w:rPr>
          <w:b/>
          <w:szCs w:val="22"/>
        </w:rPr>
      </w:pPr>
      <w:r w:rsidRPr="00792A2B">
        <w:rPr>
          <w:b/>
          <w:szCs w:val="22"/>
        </w:rPr>
        <w:t>1</w:t>
      </w:r>
      <w:r w:rsidR="003B1C55">
        <w:rPr>
          <w:b/>
          <w:szCs w:val="22"/>
        </w:rPr>
        <w:t>4</w:t>
      </w:r>
      <w:r w:rsidR="003B1C55">
        <w:rPr>
          <w:b/>
          <w:szCs w:val="22"/>
        </w:rPr>
        <w:tab/>
      </w: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D23B41">
            <w:pPr>
              <w:numPr>
                <w:ilvl w:val="0"/>
                <w:numId w:val="2"/>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2F5C5E" w:rsidRPr="001E6A56" w:rsidRDefault="00A56681" w:rsidP="00BE2C53">
            <w:pPr>
              <w:numPr>
                <w:ilvl w:val="0"/>
                <w:numId w:val="2"/>
              </w:numPr>
              <w:ind w:left="360"/>
              <w:rPr>
                <w:b/>
                <w:szCs w:val="22"/>
              </w:rPr>
            </w:pPr>
            <w:r w:rsidRPr="001E6A56">
              <w:rPr>
                <w:b/>
                <w:szCs w:val="22"/>
              </w:rPr>
              <w:t>ICT / Technology</w:t>
            </w:r>
          </w:p>
          <w:p w:rsidR="002F5C5E" w:rsidRPr="00792A2B" w:rsidRDefault="002F5C5E" w:rsidP="0047741D">
            <w:pPr>
              <w:rPr>
                <w:b/>
                <w:szCs w:val="22"/>
              </w:rPr>
            </w:pPr>
          </w:p>
          <w:p w:rsidR="00A56681" w:rsidRPr="00792A2B" w:rsidRDefault="00A56681" w:rsidP="00D23B41">
            <w:pPr>
              <w:numPr>
                <w:ilvl w:val="0"/>
                <w:numId w:val="2"/>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D23B41">
            <w:pPr>
              <w:numPr>
                <w:ilvl w:val="0"/>
                <w:numId w:val="2"/>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D23B41">
            <w:pPr>
              <w:numPr>
                <w:ilvl w:val="0"/>
                <w:numId w:val="2"/>
              </w:numPr>
              <w:ind w:left="360"/>
              <w:rPr>
                <w:b/>
                <w:szCs w:val="22"/>
              </w:rPr>
            </w:pPr>
            <w:r w:rsidRPr="00792A2B">
              <w:rPr>
                <w:b/>
                <w:szCs w:val="22"/>
              </w:rPr>
              <w:t xml:space="preserve">Equality &amp; Diversity </w:t>
            </w:r>
          </w:p>
          <w:p w:rsidR="002F5C5E" w:rsidRPr="00792A2B" w:rsidRDefault="002F5C5E">
            <w:pPr>
              <w:rPr>
                <w:szCs w:val="22"/>
              </w:rPr>
            </w:pPr>
          </w:p>
        </w:tc>
        <w:tc>
          <w:tcPr>
            <w:tcW w:w="6379" w:type="dxa"/>
            <w:shd w:val="clear" w:color="auto" w:fill="auto"/>
          </w:tcPr>
          <w:p w:rsidR="002F5C5E" w:rsidRPr="00792A2B" w:rsidRDefault="002F5C5E" w:rsidP="00AC4A99">
            <w:pPr>
              <w:rPr>
                <w:szCs w:val="22"/>
              </w:rPr>
            </w:pPr>
          </w:p>
          <w:p w:rsidR="00F43895" w:rsidRDefault="00F43895" w:rsidP="00AC4A99">
            <w:pPr>
              <w:rPr>
                <w:i/>
                <w:color w:val="2E74B5"/>
                <w:szCs w:val="22"/>
              </w:rPr>
            </w:pPr>
          </w:p>
          <w:p w:rsidR="001C3385" w:rsidRDefault="001C3385" w:rsidP="00AC4A99">
            <w:pPr>
              <w:rPr>
                <w:i/>
                <w:color w:val="2E74B5"/>
                <w:szCs w:val="22"/>
              </w:rPr>
            </w:pPr>
          </w:p>
          <w:p w:rsidR="001C3385" w:rsidRPr="00F43895" w:rsidRDefault="001C3385" w:rsidP="00AC4A99">
            <w:pPr>
              <w:rPr>
                <w:i/>
                <w:color w:val="2E74B5" w:themeColor="accent1" w:themeShade="BF"/>
                <w:szCs w:val="22"/>
              </w:rPr>
            </w:pPr>
            <w:r w:rsidRPr="0059200D">
              <w:rPr>
                <w:i/>
                <w:szCs w:val="22"/>
              </w:rPr>
              <w:t xml:space="preserve">The report is for information </w:t>
            </w:r>
            <w:r w:rsidR="00A95791">
              <w:rPr>
                <w:i/>
                <w:szCs w:val="22"/>
              </w:rPr>
              <w:t xml:space="preserve">only </w:t>
            </w:r>
            <w:r w:rsidRPr="0059200D">
              <w:rPr>
                <w:i/>
                <w:szCs w:val="22"/>
              </w:rPr>
              <w:t>and therefore there are no other implications</w:t>
            </w:r>
          </w:p>
        </w:tc>
      </w:tr>
    </w:tbl>
    <w:p w:rsidR="00C65929" w:rsidRDefault="00C65929" w:rsidP="002F5C5E">
      <w:pPr>
        <w:rPr>
          <w:b/>
          <w:szCs w:val="22"/>
        </w:rPr>
      </w:pPr>
    </w:p>
    <w:p w:rsidR="00A95791" w:rsidRDefault="00A95791" w:rsidP="002F5C5E">
      <w:pPr>
        <w:rPr>
          <w:b/>
          <w:szCs w:val="22"/>
        </w:rPr>
      </w:pPr>
    </w:p>
    <w:p w:rsidR="00E03E70" w:rsidRDefault="00E03E70" w:rsidP="002F5C5E">
      <w:pPr>
        <w:rPr>
          <w:b/>
          <w:szCs w:val="22"/>
        </w:rPr>
      </w:pPr>
    </w:p>
    <w:p w:rsidR="002F5C5E" w:rsidRDefault="000B5251" w:rsidP="002F5C5E">
      <w:pPr>
        <w:rPr>
          <w:b/>
          <w:szCs w:val="22"/>
        </w:rPr>
      </w:pPr>
      <w:r>
        <w:rPr>
          <w:b/>
          <w:szCs w:val="22"/>
        </w:rPr>
        <w:t>1</w:t>
      </w:r>
      <w:r w:rsidR="003B1C55">
        <w:rPr>
          <w:b/>
          <w:szCs w:val="22"/>
        </w:rPr>
        <w:t>5</w:t>
      </w:r>
      <w:r w:rsidR="003B1C55">
        <w:rPr>
          <w:b/>
          <w:szCs w:val="22"/>
        </w:rPr>
        <w:tab/>
      </w:r>
      <w:r>
        <w:rPr>
          <w:b/>
          <w:szCs w:val="22"/>
        </w:rPr>
        <w:t xml:space="preserve"> BACKGROUND DOCUMENTS </w:t>
      </w:r>
    </w:p>
    <w:p w:rsidR="000B5251" w:rsidRPr="009C1143" w:rsidRDefault="000B5251" w:rsidP="002F5C5E">
      <w:pPr>
        <w:rPr>
          <w:szCs w:val="22"/>
        </w:rPr>
      </w:pPr>
    </w:p>
    <w:p w:rsidR="001C5A88" w:rsidRPr="001C5A88" w:rsidRDefault="001C5A88" w:rsidP="001C5A88">
      <w:pPr>
        <w:numPr>
          <w:ilvl w:val="0"/>
          <w:numId w:val="19"/>
        </w:numPr>
        <w:tabs>
          <w:tab w:val="num" w:pos="360"/>
        </w:tabs>
        <w:jc w:val="both"/>
        <w:rPr>
          <w:b/>
          <w:szCs w:val="22"/>
        </w:rPr>
      </w:pPr>
      <w:r>
        <w:rPr>
          <w:rFonts w:cs="Arial"/>
          <w:szCs w:val="22"/>
        </w:rPr>
        <w:t>201</w:t>
      </w:r>
      <w:r w:rsidR="00780E10">
        <w:rPr>
          <w:rFonts w:cs="Arial"/>
          <w:szCs w:val="22"/>
        </w:rPr>
        <w:t>8</w:t>
      </w:r>
      <w:r>
        <w:rPr>
          <w:rFonts w:cs="Arial"/>
          <w:szCs w:val="22"/>
        </w:rPr>
        <w:t>/1</w:t>
      </w:r>
      <w:r w:rsidR="00780E10">
        <w:rPr>
          <w:rFonts w:cs="Arial"/>
          <w:szCs w:val="22"/>
        </w:rPr>
        <w:t>9</w:t>
      </w:r>
      <w:r>
        <w:rPr>
          <w:rFonts w:cs="Arial"/>
          <w:szCs w:val="22"/>
        </w:rPr>
        <w:t xml:space="preserve"> Budget and Medium Term </w:t>
      </w:r>
      <w:r w:rsidRPr="001C5A88">
        <w:rPr>
          <w:rFonts w:cs="Arial"/>
          <w:szCs w:val="22"/>
        </w:rPr>
        <w:t xml:space="preserve">Financial Strategy – Cabinet, </w:t>
      </w:r>
      <w:r w:rsidR="00780E10">
        <w:rPr>
          <w:rFonts w:cs="Arial"/>
          <w:szCs w:val="22"/>
        </w:rPr>
        <w:t>14</w:t>
      </w:r>
      <w:r w:rsidRPr="001C5A88">
        <w:rPr>
          <w:rFonts w:cs="Arial"/>
          <w:szCs w:val="22"/>
        </w:rPr>
        <w:t>th February 201</w:t>
      </w:r>
      <w:r w:rsidR="00780E10">
        <w:rPr>
          <w:rFonts w:cs="Arial"/>
          <w:szCs w:val="22"/>
        </w:rPr>
        <w:t>8</w:t>
      </w:r>
    </w:p>
    <w:p w:rsidR="00780E10" w:rsidRPr="001C5A88" w:rsidRDefault="00780E10" w:rsidP="00780E10">
      <w:pPr>
        <w:numPr>
          <w:ilvl w:val="0"/>
          <w:numId w:val="19"/>
        </w:numPr>
        <w:tabs>
          <w:tab w:val="num" w:pos="360"/>
        </w:tabs>
        <w:jc w:val="both"/>
        <w:rPr>
          <w:b/>
          <w:szCs w:val="22"/>
        </w:rPr>
      </w:pPr>
      <w:r>
        <w:rPr>
          <w:rFonts w:cs="Arial"/>
          <w:szCs w:val="22"/>
        </w:rPr>
        <w:t xml:space="preserve">2019/20 Budget and Medium Term </w:t>
      </w:r>
      <w:r w:rsidRPr="001C5A88">
        <w:rPr>
          <w:rFonts w:cs="Arial"/>
          <w:szCs w:val="22"/>
        </w:rPr>
        <w:t xml:space="preserve">Financial Strategy – Cabinet, </w:t>
      </w:r>
      <w:r>
        <w:rPr>
          <w:rFonts w:cs="Arial"/>
          <w:szCs w:val="22"/>
        </w:rPr>
        <w:t>27</w:t>
      </w:r>
      <w:r w:rsidRPr="001C5A88">
        <w:rPr>
          <w:rFonts w:cs="Arial"/>
          <w:szCs w:val="22"/>
        </w:rPr>
        <w:t>th February 201</w:t>
      </w:r>
      <w:r>
        <w:rPr>
          <w:rFonts w:cs="Arial"/>
          <w:szCs w:val="22"/>
        </w:rPr>
        <w:t>9</w:t>
      </w:r>
    </w:p>
    <w:p w:rsidR="00A95791" w:rsidRPr="00985917" w:rsidRDefault="00A95791" w:rsidP="002E1752">
      <w:pPr>
        <w:jc w:val="both"/>
        <w:rPr>
          <w:b/>
          <w:szCs w:val="22"/>
        </w:rPr>
      </w:pPr>
    </w:p>
    <w:p w:rsidR="00CF230A" w:rsidRDefault="00CF230A">
      <w:pPr>
        <w:rPr>
          <w:b/>
          <w:szCs w:val="22"/>
        </w:rPr>
      </w:pPr>
      <w:r>
        <w:rPr>
          <w:b/>
          <w:szCs w:val="22"/>
        </w:rPr>
        <w:lastRenderedPageBreak/>
        <w:br w:type="page"/>
      </w:r>
    </w:p>
    <w:p w:rsidR="00C43B6B" w:rsidRDefault="000B5251" w:rsidP="000B5251">
      <w:pPr>
        <w:rPr>
          <w:b/>
        </w:rPr>
      </w:pPr>
      <w:r w:rsidRPr="00792A2B">
        <w:rPr>
          <w:b/>
        </w:rPr>
        <w:lastRenderedPageBreak/>
        <w:t>1</w:t>
      </w:r>
      <w:r w:rsidR="003B1C55">
        <w:rPr>
          <w:b/>
        </w:rPr>
        <w:t>6</w:t>
      </w:r>
      <w:r w:rsidR="003B1C55">
        <w:rPr>
          <w:b/>
        </w:rPr>
        <w:tab/>
      </w:r>
      <w:r w:rsidRPr="00792A2B">
        <w:rPr>
          <w:b/>
        </w:rPr>
        <w:t xml:space="preserve">APPENDICES </w:t>
      </w:r>
    </w:p>
    <w:p w:rsidR="00E03E70" w:rsidRDefault="00E03E70" w:rsidP="000B5251">
      <w:pPr>
        <w:rPr>
          <w:b/>
        </w:rPr>
      </w:pPr>
    </w:p>
    <w:tbl>
      <w:tblPr>
        <w:tblW w:w="0" w:type="auto"/>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129"/>
      </w:tblGrid>
      <w:tr w:rsidR="00C43B6B" w:rsidRPr="00985917" w:rsidTr="00E03E70">
        <w:trPr>
          <w:trHeight w:val="510"/>
        </w:trPr>
        <w:tc>
          <w:tcPr>
            <w:tcW w:w="8647" w:type="dxa"/>
            <w:gridSpan w:val="2"/>
            <w:shd w:val="clear" w:color="auto" w:fill="D9D9D9" w:themeFill="background1" w:themeFillShade="D9"/>
          </w:tcPr>
          <w:p w:rsidR="00C43B6B" w:rsidRPr="00985917" w:rsidRDefault="00C43B6B" w:rsidP="00A45392">
            <w:pPr>
              <w:spacing w:before="240" w:line="480" w:lineRule="auto"/>
              <w:jc w:val="center"/>
              <w:rPr>
                <w:rFonts w:cs="Arial"/>
                <w:b/>
                <w:sz w:val="28"/>
                <w:szCs w:val="28"/>
                <w:u w:val="single"/>
              </w:rPr>
            </w:pPr>
            <w:r w:rsidRPr="00C970E4">
              <w:rPr>
                <w:rFonts w:cs="Arial"/>
                <w:b/>
                <w:sz w:val="28"/>
                <w:szCs w:val="28"/>
              </w:rPr>
              <w:t>APPENDICES</w:t>
            </w:r>
          </w:p>
        </w:tc>
      </w:tr>
      <w:tr w:rsidR="00C50CD1" w:rsidRPr="00985917" w:rsidTr="00E03E70">
        <w:trPr>
          <w:trHeight w:val="454"/>
        </w:trPr>
        <w:tc>
          <w:tcPr>
            <w:tcW w:w="2518" w:type="dxa"/>
            <w:shd w:val="clear" w:color="auto" w:fill="auto"/>
          </w:tcPr>
          <w:p w:rsidR="00C50CD1" w:rsidRPr="003D297B" w:rsidRDefault="00C50CD1" w:rsidP="00A45392">
            <w:pPr>
              <w:spacing w:before="240" w:after="120" w:line="480" w:lineRule="auto"/>
              <w:jc w:val="both"/>
              <w:rPr>
                <w:rFonts w:cs="Arial"/>
                <w:b/>
                <w:szCs w:val="22"/>
              </w:rPr>
            </w:pPr>
            <w:r w:rsidRPr="003D297B">
              <w:rPr>
                <w:rFonts w:cs="Arial"/>
                <w:b/>
                <w:szCs w:val="22"/>
              </w:rPr>
              <w:t>Appendix A</w:t>
            </w:r>
          </w:p>
        </w:tc>
        <w:tc>
          <w:tcPr>
            <w:tcW w:w="6129" w:type="dxa"/>
            <w:shd w:val="clear" w:color="auto" w:fill="auto"/>
          </w:tcPr>
          <w:p w:rsidR="00C50CD1" w:rsidRPr="006D6606" w:rsidRDefault="00C50CD1" w:rsidP="0017576B">
            <w:pPr>
              <w:spacing w:before="240" w:line="480" w:lineRule="auto"/>
              <w:jc w:val="both"/>
              <w:rPr>
                <w:rFonts w:cs="Arial"/>
                <w:color w:val="FF0000"/>
                <w:szCs w:val="22"/>
              </w:rPr>
            </w:pPr>
            <w:r w:rsidRPr="0017576B">
              <w:rPr>
                <w:rFonts w:cs="Arial"/>
                <w:szCs w:val="22"/>
              </w:rPr>
              <w:t xml:space="preserve">Summary of Key Income (Fees and Charges) </w:t>
            </w:r>
            <w:r w:rsidR="0017576B">
              <w:rPr>
                <w:rFonts w:cs="Arial"/>
                <w:szCs w:val="22"/>
              </w:rPr>
              <w:t>Outturn</w:t>
            </w:r>
          </w:p>
        </w:tc>
      </w:tr>
      <w:tr w:rsidR="00C43B6B" w:rsidRPr="00985917" w:rsidTr="00E03E70">
        <w:trPr>
          <w:trHeight w:val="454"/>
        </w:trPr>
        <w:tc>
          <w:tcPr>
            <w:tcW w:w="2518" w:type="dxa"/>
            <w:shd w:val="clear" w:color="auto" w:fill="auto"/>
          </w:tcPr>
          <w:p w:rsidR="00C43B6B" w:rsidRPr="003D297B" w:rsidRDefault="00C43B6B" w:rsidP="00A45392">
            <w:pPr>
              <w:spacing w:before="240" w:after="120" w:line="480" w:lineRule="auto"/>
              <w:jc w:val="both"/>
              <w:rPr>
                <w:rFonts w:cs="Arial"/>
                <w:b/>
                <w:szCs w:val="22"/>
                <w:u w:val="single"/>
              </w:rPr>
            </w:pPr>
            <w:r w:rsidRPr="003D297B">
              <w:rPr>
                <w:rFonts w:cs="Arial"/>
                <w:b/>
                <w:szCs w:val="22"/>
              </w:rPr>
              <w:t xml:space="preserve">Appendix </w:t>
            </w:r>
            <w:r w:rsidR="00C50CD1" w:rsidRPr="003D297B">
              <w:rPr>
                <w:rFonts w:cs="Arial"/>
                <w:b/>
                <w:szCs w:val="22"/>
              </w:rPr>
              <w:t>B</w:t>
            </w:r>
          </w:p>
        </w:tc>
        <w:tc>
          <w:tcPr>
            <w:tcW w:w="6129" w:type="dxa"/>
            <w:shd w:val="clear" w:color="auto" w:fill="auto"/>
          </w:tcPr>
          <w:p w:rsidR="00C43B6B" w:rsidRPr="003D297B" w:rsidRDefault="00C43B6B" w:rsidP="00A45392">
            <w:pPr>
              <w:spacing w:before="240" w:line="480" w:lineRule="auto"/>
              <w:jc w:val="both"/>
              <w:rPr>
                <w:rFonts w:cs="Arial"/>
                <w:b/>
                <w:szCs w:val="22"/>
                <w:u w:val="single"/>
              </w:rPr>
            </w:pPr>
            <w:r w:rsidRPr="003D297B">
              <w:rPr>
                <w:rFonts w:cs="Arial"/>
                <w:szCs w:val="22"/>
              </w:rPr>
              <w:t>Council Tax, Business Rates and Sundry Debtor Collection</w:t>
            </w:r>
          </w:p>
        </w:tc>
      </w:tr>
      <w:tr w:rsidR="00B00C02" w:rsidRPr="00985917" w:rsidTr="006D6606">
        <w:tc>
          <w:tcPr>
            <w:tcW w:w="2518" w:type="dxa"/>
            <w:shd w:val="clear" w:color="auto" w:fill="auto"/>
          </w:tcPr>
          <w:p w:rsidR="00B00C02" w:rsidRPr="003D297B" w:rsidRDefault="00B00C02" w:rsidP="006D6606">
            <w:pPr>
              <w:spacing w:before="240" w:after="120" w:line="480" w:lineRule="auto"/>
              <w:jc w:val="both"/>
              <w:rPr>
                <w:rFonts w:cs="Arial"/>
                <w:b/>
                <w:szCs w:val="22"/>
              </w:rPr>
            </w:pPr>
            <w:r w:rsidRPr="003D297B">
              <w:rPr>
                <w:rFonts w:cs="Arial"/>
                <w:b/>
                <w:szCs w:val="22"/>
              </w:rPr>
              <w:t>Appendix C</w:t>
            </w:r>
          </w:p>
        </w:tc>
        <w:tc>
          <w:tcPr>
            <w:tcW w:w="6129" w:type="dxa"/>
            <w:shd w:val="clear" w:color="auto" w:fill="auto"/>
          </w:tcPr>
          <w:p w:rsidR="00B00C02" w:rsidRPr="003D297B" w:rsidRDefault="00B00C02" w:rsidP="003D297B">
            <w:pPr>
              <w:spacing w:before="240" w:after="120" w:line="480" w:lineRule="auto"/>
              <w:jc w:val="both"/>
              <w:rPr>
                <w:rFonts w:cs="Arial"/>
                <w:szCs w:val="22"/>
              </w:rPr>
            </w:pPr>
            <w:r w:rsidRPr="003D297B">
              <w:rPr>
                <w:rFonts w:cs="Arial"/>
                <w:szCs w:val="22"/>
              </w:rPr>
              <w:t>Capital Outturn 201</w:t>
            </w:r>
            <w:r w:rsidR="003D297B" w:rsidRPr="003D297B">
              <w:rPr>
                <w:rFonts w:cs="Arial"/>
                <w:szCs w:val="22"/>
              </w:rPr>
              <w:t>8</w:t>
            </w:r>
            <w:r w:rsidRPr="003D297B">
              <w:rPr>
                <w:rFonts w:cs="Arial"/>
                <w:szCs w:val="22"/>
              </w:rPr>
              <w:t>/1</w:t>
            </w:r>
            <w:r w:rsidR="003D297B" w:rsidRPr="003D297B">
              <w:rPr>
                <w:rFonts w:cs="Arial"/>
                <w:szCs w:val="22"/>
              </w:rPr>
              <w:t>9</w:t>
            </w:r>
          </w:p>
        </w:tc>
      </w:tr>
      <w:tr w:rsidR="00C43B6B" w:rsidRPr="00985917" w:rsidTr="00E03E70">
        <w:trPr>
          <w:trHeight w:val="559"/>
        </w:trPr>
        <w:tc>
          <w:tcPr>
            <w:tcW w:w="2518" w:type="dxa"/>
            <w:shd w:val="clear" w:color="auto" w:fill="auto"/>
          </w:tcPr>
          <w:p w:rsidR="00C43B6B" w:rsidRPr="003D297B" w:rsidRDefault="00C43B6B" w:rsidP="00A45392">
            <w:pPr>
              <w:spacing w:before="240" w:after="120" w:line="480" w:lineRule="auto"/>
              <w:jc w:val="both"/>
              <w:rPr>
                <w:rFonts w:cs="Arial"/>
                <w:b/>
                <w:szCs w:val="22"/>
                <w:u w:val="single"/>
              </w:rPr>
            </w:pPr>
            <w:r w:rsidRPr="003D297B">
              <w:rPr>
                <w:rFonts w:cs="Arial"/>
                <w:b/>
                <w:szCs w:val="22"/>
              </w:rPr>
              <w:t xml:space="preserve">Appendix </w:t>
            </w:r>
            <w:r w:rsidR="00B00C02" w:rsidRPr="003D297B">
              <w:rPr>
                <w:rFonts w:cs="Arial"/>
                <w:b/>
                <w:szCs w:val="22"/>
              </w:rPr>
              <w:t>D</w:t>
            </w:r>
          </w:p>
        </w:tc>
        <w:tc>
          <w:tcPr>
            <w:tcW w:w="6129" w:type="dxa"/>
            <w:shd w:val="clear" w:color="auto" w:fill="auto"/>
          </w:tcPr>
          <w:p w:rsidR="00C43B6B" w:rsidRPr="003D297B" w:rsidRDefault="00C43B6B" w:rsidP="00A45392">
            <w:pPr>
              <w:spacing w:before="240" w:after="120" w:line="480" w:lineRule="auto"/>
              <w:jc w:val="both"/>
              <w:rPr>
                <w:rFonts w:cs="Arial"/>
                <w:b/>
                <w:szCs w:val="22"/>
                <w:u w:val="single"/>
              </w:rPr>
            </w:pPr>
            <w:r w:rsidRPr="003D297B">
              <w:rPr>
                <w:rFonts w:cs="Arial"/>
                <w:szCs w:val="22"/>
              </w:rPr>
              <w:t>Summary of Revenue Reserves and Balances</w:t>
            </w:r>
          </w:p>
        </w:tc>
      </w:tr>
    </w:tbl>
    <w:p w:rsidR="001C5E49" w:rsidRDefault="001C5E49" w:rsidP="001C5E49">
      <w:pPr>
        <w:tabs>
          <w:tab w:val="left" w:pos="2839"/>
        </w:tabs>
        <w:ind w:left="426" w:hanging="426"/>
        <w:rPr>
          <w:rFonts w:cs="Arial"/>
          <w:color w:val="0070C0"/>
        </w:rPr>
      </w:pPr>
    </w:p>
    <w:p w:rsidR="00B00C02" w:rsidRDefault="00B00C02" w:rsidP="001C5E49">
      <w:pPr>
        <w:tabs>
          <w:tab w:val="left" w:pos="2839"/>
        </w:tabs>
        <w:ind w:left="426" w:hanging="426"/>
        <w:rPr>
          <w:rFonts w:cs="Arial"/>
          <w:color w:val="0070C0"/>
        </w:rPr>
      </w:pPr>
    </w:p>
    <w:p w:rsidR="00C53CC9" w:rsidRDefault="00C53CC9" w:rsidP="001C5E49">
      <w:pPr>
        <w:tabs>
          <w:tab w:val="left" w:pos="2839"/>
        </w:tabs>
        <w:ind w:left="426" w:hanging="426"/>
        <w:rPr>
          <w:rFonts w:cs="Arial"/>
          <w:color w:val="0070C0"/>
        </w:rPr>
      </w:pPr>
    </w:p>
    <w:p w:rsidR="001E6A56" w:rsidRDefault="001E6A56" w:rsidP="001C5E49">
      <w:pPr>
        <w:tabs>
          <w:tab w:val="left" w:pos="2839"/>
        </w:tabs>
        <w:ind w:left="426" w:hanging="426"/>
        <w:rPr>
          <w:rFonts w:cs="Arial"/>
          <w:color w:val="0070C0"/>
        </w:rPr>
      </w:pPr>
    </w:p>
    <w:p w:rsidR="00DD000C" w:rsidRDefault="00DD000C" w:rsidP="001C5E49">
      <w:pPr>
        <w:tabs>
          <w:tab w:val="left" w:pos="2839"/>
        </w:tabs>
        <w:ind w:left="426" w:hanging="426"/>
        <w:rPr>
          <w:rFonts w:cs="Arial"/>
          <w:color w:val="0070C0"/>
        </w:rPr>
      </w:pPr>
    </w:p>
    <w:p w:rsidR="00273DAF" w:rsidRDefault="00273DAF" w:rsidP="00AB5D0E">
      <w:pPr>
        <w:tabs>
          <w:tab w:val="left" w:pos="2839"/>
        </w:tabs>
        <w:ind w:left="426" w:hanging="426"/>
        <w:rPr>
          <w:rFonts w:cs="Arial"/>
          <w:b/>
        </w:rPr>
      </w:pPr>
      <w:r>
        <w:rPr>
          <w:rFonts w:cs="Arial"/>
          <w:b/>
        </w:rPr>
        <w:t>Jane Blundell</w:t>
      </w:r>
    </w:p>
    <w:p w:rsidR="00AB5D0E" w:rsidRDefault="00D50704" w:rsidP="00AB5D0E">
      <w:pPr>
        <w:tabs>
          <w:tab w:val="left" w:pos="2839"/>
        </w:tabs>
        <w:ind w:left="426" w:hanging="426"/>
        <w:rPr>
          <w:rFonts w:cs="Arial"/>
          <w:color w:val="0070C0"/>
        </w:rPr>
      </w:pPr>
      <w:r>
        <w:rPr>
          <w:rFonts w:cs="Arial"/>
          <w:b/>
        </w:rPr>
        <w:t xml:space="preserve">Principal Management Accountant/ </w:t>
      </w:r>
      <w:r w:rsidR="00AB5D0E" w:rsidRPr="00DF0088">
        <w:rPr>
          <w:rFonts w:cs="Arial"/>
          <w:b/>
          <w:color w:val="2E2D2D"/>
        </w:rPr>
        <w:t xml:space="preserve">Deputy </w:t>
      </w:r>
      <w:r w:rsidR="00E33858">
        <w:rPr>
          <w:rFonts w:cs="Arial"/>
          <w:b/>
          <w:color w:val="2E2D2D"/>
        </w:rPr>
        <w:t>S151</w:t>
      </w:r>
      <w:r w:rsidR="00273DAF">
        <w:rPr>
          <w:rFonts w:cs="Arial"/>
          <w:b/>
          <w:color w:val="2E2D2D"/>
        </w:rPr>
        <w:t xml:space="preserve"> Officer </w:t>
      </w:r>
      <w:r w:rsidR="00AB5D0E" w:rsidRPr="00E66713">
        <w:rPr>
          <w:rFonts w:cs="Arial"/>
          <w:color w:val="0070C0"/>
        </w:rPr>
        <w:t xml:space="preserve"> </w:t>
      </w:r>
    </w:p>
    <w:p w:rsidR="001E6A56" w:rsidRPr="00E66713" w:rsidRDefault="001E6A56" w:rsidP="00AB5D0E">
      <w:pPr>
        <w:tabs>
          <w:tab w:val="left" w:pos="2839"/>
        </w:tabs>
        <w:ind w:left="426" w:hanging="426"/>
        <w:rPr>
          <w:rFonts w:cs="Arial"/>
          <w:color w:val="0070C0"/>
        </w:rPr>
      </w:pPr>
    </w:p>
    <w:p w:rsidR="00AB5D0E" w:rsidRPr="007F1945" w:rsidRDefault="00AB5D0E" w:rsidP="00AB5D0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AB5D0E" w:rsidTr="00DD000C">
        <w:tc>
          <w:tcPr>
            <w:tcW w:w="5607" w:type="dxa"/>
            <w:shd w:val="clear" w:color="auto" w:fill="auto"/>
          </w:tcPr>
          <w:p w:rsidR="00AB5D0E" w:rsidRPr="0031059E" w:rsidRDefault="00AB5D0E" w:rsidP="00E51C3E">
            <w:pPr>
              <w:rPr>
                <w:rFonts w:cs="Arial"/>
              </w:rPr>
            </w:pPr>
            <w:r w:rsidRPr="0031059E">
              <w:rPr>
                <w:rFonts w:cs="Arial"/>
              </w:rPr>
              <w:t>Report Author:</w:t>
            </w:r>
          </w:p>
        </w:tc>
        <w:tc>
          <w:tcPr>
            <w:tcW w:w="1554" w:type="dxa"/>
            <w:shd w:val="clear" w:color="auto" w:fill="auto"/>
          </w:tcPr>
          <w:p w:rsidR="00AB5D0E" w:rsidRPr="0031059E" w:rsidRDefault="00AB5D0E" w:rsidP="00E51C3E">
            <w:pPr>
              <w:rPr>
                <w:rFonts w:cs="Arial"/>
              </w:rPr>
            </w:pPr>
            <w:r w:rsidRPr="0031059E">
              <w:rPr>
                <w:rFonts w:cs="Arial"/>
              </w:rPr>
              <w:t>Telephone:</w:t>
            </w:r>
          </w:p>
        </w:tc>
        <w:tc>
          <w:tcPr>
            <w:tcW w:w="2359" w:type="dxa"/>
            <w:shd w:val="clear" w:color="auto" w:fill="auto"/>
          </w:tcPr>
          <w:p w:rsidR="00AB5D0E" w:rsidRPr="0031059E" w:rsidRDefault="00AB5D0E" w:rsidP="00E51C3E">
            <w:pPr>
              <w:rPr>
                <w:rFonts w:cs="Arial"/>
              </w:rPr>
            </w:pPr>
            <w:r w:rsidRPr="0031059E">
              <w:rPr>
                <w:rFonts w:cs="Arial"/>
              </w:rPr>
              <w:t>Date:</w:t>
            </w:r>
          </w:p>
        </w:tc>
      </w:tr>
      <w:tr w:rsidR="00AB5D0E" w:rsidTr="00DD000C">
        <w:tc>
          <w:tcPr>
            <w:tcW w:w="5607" w:type="dxa"/>
            <w:shd w:val="clear" w:color="auto" w:fill="auto"/>
          </w:tcPr>
          <w:p w:rsidR="00AB5D0E" w:rsidRPr="00CB5073" w:rsidRDefault="00CB5073" w:rsidP="00E51C3E">
            <w:pPr>
              <w:rPr>
                <w:rFonts w:cs="Arial"/>
              </w:rPr>
            </w:pPr>
            <w:r w:rsidRPr="00CB5073">
              <w:rPr>
                <w:rFonts w:cs="Arial"/>
              </w:rPr>
              <w:t>Jane Blundell</w:t>
            </w:r>
          </w:p>
          <w:p w:rsidR="00AB5D0E" w:rsidRPr="0031059E" w:rsidRDefault="00AB5D0E" w:rsidP="00E51C3E">
            <w:pPr>
              <w:ind w:left="-539" w:firstLine="539"/>
              <w:rPr>
                <w:rFonts w:cs="Arial"/>
              </w:rPr>
            </w:pPr>
          </w:p>
        </w:tc>
        <w:tc>
          <w:tcPr>
            <w:tcW w:w="1554" w:type="dxa"/>
            <w:shd w:val="clear" w:color="auto" w:fill="auto"/>
          </w:tcPr>
          <w:p w:rsidR="00AB5D0E" w:rsidRPr="0031059E" w:rsidRDefault="00AB5D0E" w:rsidP="00CB5073">
            <w:pPr>
              <w:rPr>
                <w:rFonts w:cs="Arial"/>
              </w:rPr>
            </w:pPr>
            <w:r>
              <w:rPr>
                <w:rFonts w:cs="Arial"/>
              </w:rPr>
              <w:t>01772 62</w:t>
            </w:r>
            <w:r w:rsidR="00CB5073">
              <w:rPr>
                <w:rFonts w:cs="Arial"/>
              </w:rPr>
              <w:t>5245</w:t>
            </w:r>
          </w:p>
        </w:tc>
        <w:tc>
          <w:tcPr>
            <w:tcW w:w="2359" w:type="dxa"/>
            <w:shd w:val="clear" w:color="auto" w:fill="auto"/>
          </w:tcPr>
          <w:p w:rsidR="00AB5D0E" w:rsidRPr="0031059E" w:rsidRDefault="00273DAF" w:rsidP="00E51C3E">
            <w:pPr>
              <w:rPr>
                <w:rFonts w:cs="Arial"/>
              </w:rPr>
            </w:pPr>
            <w:r>
              <w:rPr>
                <w:rFonts w:cs="Arial"/>
              </w:rPr>
              <w:t>29/05/19</w:t>
            </w:r>
          </w:p>
        </w:tc>
      </w:tr>
    </w:tbl>
    <w:p w:rsidR="00CB1505" w:rsidRDefault="00CB1505" w:rsidP="00122EC9">
      <w:pPr>
        <w:tabs>
          <w:tab w:val="left" w:pos="2280"/>
          <w:tab w:val="center" w:pos="4153"/>
          <w:tab w:val="right" w:pos="8306"/>
        </w:tabs>
        <w:jc w:val="right"/>
        <w:rPr>
          <w:b/>
          <w:lang w:val="x-none"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7A3A14" w:rsidRDefault="00095DD7" w:rsidP="007A3A14">
      <w:pPr>
        <w:spacing w:after="120"/>
        <w:jc w:val="both"/>
        <w:rPr>
          <w:b/>
          <w:lang w:eastAsia="x-none"/>
        </w:rPr>
      </w:pPr>
      <w:r>
        <w:rPr>
          <w:b/>
          <w:lang w:eastAsia="x-none"/>
        </w:rPr>
        <w:br w:type="page"/>
      </w:r>
    </w:p>
    <w:p w:rsidR="007A3A14" w:rsidRDefault="007A3A14" w:rsidP="002E1752">
      <w:pPr>
        <w:spacing w:after="120"/>
        <w:jc w:val="right"/>
        <w:rPr>
          <w:b/>
          <w:lang w:eastAsia="x-none"/>
        </w:rPr>
      </w:pPr>
      <w:r>
        <w:rPr>
          <w:b/>
          <w:lang w:eastAsia="x-none"/>
        </w:rPr>
        <w:lastRenderedPageBreak/>
        <w:t>Appendix A</w:t>
      </w:r>
    </w:p>
    <w:p w:rsidR="007A3A14" w:rsidRDefault="007A3A14" w:rsidP="007A3A14">
      <w:pPr>
        <w:spacing w:after="120"/>
        <w:jc w:val="both"/>
        <w:rPr>
          <w:b/>
          <w:szCs w:val="22"/>
          <w:u w:val="single"/>
        </w:rPr>
      </w:pPr>
      <w:r w:rsidRPr="00101E9B">
        <w:rPr>
          <w:b/>
          <w:szCs w:val="22"/>
          <w:u w:val="single"/>
        </w:rPr>
        <w:t xml:space="preserve">Summary of </w:t>
      </w:r>
      <w:r>
        <w:rPr>
          <w:b/>
          <w:szCs w:val="22"/>
          <w:u w:val="single"/>
        </w:rPr>
        <w:t xml:space="preserve">Key Income (Fees and Charges) </w:t>
      </w:r>
      <w:r w:rsidRPr="00101E9B">
        <w:rPr>
          <w:b/>
          <w:szCs w:val="22"/>
          <w:u w:val="single"/>
        </w:rPr>
        <w:t xml:space="preserve">Outturn </w:t>
      </w:r>
      <w:r>
        <w:rPr>
          <w:b/>
          <w:szCs w:val="22"/>
          <w:u w:val="single"/>
        </w:rPr>
        <w:t>Position</w:t>
      </w:r>
    </w:p>
    <w:p w:rsidR="00C50CD1" w:rsidRPr="002E1752" w:rsidRDefault="00C50CD1" w:rsidP="007A3A14">
      <w:pPr>
        <w:spacing w:after="120"/>
        <w:jc w:val="both"/>
        <w:rPr>
          <w:b/>
          <w:szCs w:val="22"/>
          <w:u w:val="single"/>
        </w:rPr>
      </w:pPr>
    </w:p>
    <w:tbl>
      <w:tblPr>
        <w:tblW w:w="106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854"/>
        <w:gridCol w:w="1548"/>
        <w:gridCol w:w="1843"/>
        <w:gridCol w:w="1876"/>
      </w:tblGrid>
      <w:tr w:rsidR="00905FF0" w:rsidRPr="007D5808" w:rsidTr="00924A83">
        <w:trPr>
          <w:trHeight w:val="70"/>
        </w:trPr>
        <w:tc>
          <w:tcPr>
            <w:tcW w:w="3499" w:type="dxa"/>
            <w:tcBorders>
              <w:left w:val="single" w:sz="4" w:space="0" w:color="auto"/>
              <w:bottom w:val="single" w:sz="4" w:space="0" w:color="auto"/>
              <w:right w:val="nil"/>
            </w:tcBorders>
            <w:shd w:val="clear" w:color="auto" w:fill="D9D9D9" w:themeFill="background1" w:themeFillShade="D9"/>
            <w:vAlign w:val="center"/>
          </w:tcPr>
          <w:p w:rsidR="00905FF0" w:rsidRPr="00F90C4E" w:rsidRDefault="00905FF0" w:rsidP="00905FF0">
            <w:pPr>
              <w:ind w:right="634"/>
              <w:rPr>
                <w:b/>
                <w:sz w:val="24"/>
              </w:rPr>
            </w:pPr>
            <w:r w:rsidRPr="00F90C4E">
              <w:rPr>
                <w:b/>
                <w:sz w:val="24"/>
              </w:rPr>
              <w:t>Key Income (Fees and Charges) Budgets</w:t>
            </w:r>
          </w:p>
        </w:tc>
        <w:tc>
          <w:tcPr>
            <w:tcW w:w="1854" w:type="dxa"/>
            <w:tcBorders>
              <w:left w:val="nil"/>
              <w:bottom w:val="single" w:sz="4" w:space="0" w:color="auto"/>
              <w:right w:val="nil"/>
            </w:tcBorders>
            <w:shd w:val="clear" w:color="auto" w:fill="D9D9D9" w:themeFill="background1" w:themeFillShade="D9"/>
          </w:tcPr>
          <w:p w:rsidR="00905FF0" w:rsidRDefault="00905FF0" w:rsidP="007A3A14">
            <w:pPr>
              <w:jc w:val="center"/>
              <w:rPr>
                <w:b/>
                <w:sz w:val="20"/>
              </w:rPr>
            </w:pPr>
            <w:r>
              <w:rPr>
                <w:b/>
                <w:sz w:val="24"/>
              </w:rPr>
              <w:t xml:space="preserve">Actual Previous Year </w:t>
            </w:r>
            <w:r w:rsidRPr="00924A83">
              <w:rPr>
                <w:b/>
                <w:szCs w:val="22"/>
              </w:rPr>
              <w:t>(2017/18)</w:t>
            </w:r>
          </w:p>
          <w:p w:rsidR="00924A83" w:rsidRPr="00924A83" w:rsidRDefault="00924A83" w:rsidP="007A3A14">
            <w:pPr>
              <w:jc w:val="center"/>
              <w:rPr>
                <w:b/>
                <w:sz w:val="24"/>
                <w:szCs w:val="24"/>
              </w:rPr>
            </w:pPr>
            <w:r w:rsidRPr="00924A83">
              <w:rPr>
                <w:b/>
                <w:sz w:val="24"/>
                <w:szCs w:val="24"/>
              </w:rPr>
              <w:t>£000</w:t>
            </w:r>
          </w:p>
        </w:tc>
        <w:tc>
          <w:tcPr>
            <w:tcW w:w="1548" w:type="dxa"/>
            <w:tcBorders>
              <w:left w:val="nil"/>
              <w:bottom w:val="single" w:sz="4" w:space="0" w:color="auto"/>
              <w:right w:val="nil"/>
            </w:tcBorders>
            <w:shd w:val="clear" w:color="auto" w:fill="D9D9D9" w:themeFill="background1" w:themeFillShade="D9"/>
          </w:tcPr>
          <w:p w:rsidR="00905FF0" w:rsidRPr="00F90C4E" w:rsidRDefault="00905FF0" w:rsidP="007A3A14">
            <w:pPr>
              <w:jc w:val="center"/>
              <w:rPr>
                <w:b/>
                <w:sz w:val="24"/>
              </w:rPr>
            </w:pPr>
            <w:r w:rsidRPr="00F90C4E">
              <w:rPr>
                <w:b/>
                <w:sz w:val="24"/>
              </w:rPr>
              <w:t>Budget  201</w:t>
            </w:r>
            <w:r>
              <w:rPr>
                <w:b/>
                <w:sz w:val="24"/>
              </w:rPr>
              <w:t>8</w:t>
            </w:r>
            <w:r w:rsidRPr="00F90C4E">
              <w:rPr>
                <w:b/>
                <w:sz w:val="24"/>
              </w:rPr>
              <w:t>/1</w:t>
            </w:r>
            <w:r>
              <w:rPr>
                <w:b/>
                <w:sz w:val="24"/>
              </w:rPr>
              <w:t>9</w:t>
            </w:r>
          </w:p>
          <w:p w:rsidR="00924A83" w:rsidRDefault="00924A83" w:rsidP="007A3A14">
            <w:pPr>
              <w:jc w:val="center"/>
              <w:rPr>
                <w:b/>
                <w:sz w:val="24"/>
              </w:rPr>
            </w:pPr>
          </w:p>
          <w:p w:rsidR="00905FF0" w:rsidRPr="00F90C4E" w:rsidRDefault="00905FF0" w:rsidP="007A3A14">
            <w:pPr>
              <w:jc w:val="center"/>
              <w:rPr>
                <w:b/>
                <w:sz w:val="24"/>
              </w:rPr>
            </w:pPr>
            <w:r w:rsidRPr="00F90C4E">
              <w:rPr>
                <w:b/>
                <w:sz w:val="24"/>
              </w:rPr>
              <w:t>£000</w:t>
            </w:r>
          </w:p>
        </w:tc>
        <w:tc>
          <w:tcPr>
            <w:tcW w:w="1843" w:type="dxa"/>
            <w:tcBorders>
              <w:left w:val="nil"/>
              <w:bottom w:val="single" w:sz="4" w:space="0" w:color="auto"/>
              <w:right w:val="nil"/>
            </w:tcBorders>
            <w:shd w:val="clear" w:color="auto" w:fill="D9D9D9" w:themeFill="background1" w:themeFillShade="D9"/>
          </w:tcPr>
          <w:p w:rsidR="00905FF0" w:rsidRPr="00F90C4E" w:rsidRDefault="00905FF0" w:rsidP="007A3A14">
            <w:pPr>
              <w:jc w:val="center"/>
              <w:rPr>
                <w:b/>
                <w:sz w:val="24"/>
              </w:rPr>
            </w:pPr>
            <w:r w:rsidRPr="00F90C4E">
              <w:rPr>
                <w:b/>
                <w:sz w:val="24"/>
              </w:rPr>
              <w:t>Actual Outturn 201</w:t>
            </w:r>
            <w:r>
              <w:rPr>
                <w:b/>
                <w:sz w:val="24"/>
              </w:rPr>
              <w:t>8</w:t>
            </w:r>
            <w:r w:rsidRPr="00F90C4E">
              <w:rPr>
                <w:b/>
                <w:sz w:val="24"/>
              </w:rPr>
              <w:t>/1</w:t>
            </w:r>
            <w:r>
              <w:rPr>
                <w:b/>
                <w:sz w:val="24"/>
              </w:rPr>
              <w:t>9</w:t>
            </w:r>
          </w:p>
          <w:p w:rsidR="00905FF0" w:rsidRPr="00F90C4E" w:rsidRDefault="00905FF0" w:rsidP="007A3A14">
            <w:pPr>
              <w:jc w:val="center"/>
              <w:rPr>
                <w:b/>
                <w:sz w:val="24"/>
              </w:rPr>
            </w:pPr>
            <w:r w:rsidRPr="00F90C4E">
              <w:rPr>
                <w:b/>
                <w:sz w:val="24"/>
              </w:rPr>
              <w:t>£000</w:t>
            </w:r>
          </w:p>
        </w:tc>
        <w:tc>
          <w:tcPr>
            <w:tcW w:w="1876" w:type="dxa"/>
            <w:tcBorders>
              <w:left w:val="nil"/>
              <w:bottom w:val="single" w:sz="4" w:space="0" w:color="auto"/>
              <w:right w:val="single" w:sz="4" w:space="0" w:color="auto"/>
            </w:tcBorders>
            <w:shd w:val="clear" w:color="auto" w:fill="D9D9D9" w:themeFill="background1" w:themeFillShade="D9"/>
          </w:tcPr>
          <w:p w:rsidR="00905FF0" w:rsidRPr="00F90C4E" w:rsidRDefault="00905FF0" w:rsidP="007A3A14">
            <w:pPr>
              <w:jc w:val="center"/>
              <w:rPr>
                <w:b/>
                <w:sz w:val="24"/>
              </w:rPr>
            </w:pPr>
            <w:r w:rsidRPr="00F90C4E">
              <w:rPr>
                <w:b/>
                <w:sz w:val="24"/>
              </w:rPr>
              <w:t>Variance (Over) / Under budget</w:t>
            </w:r>
          </w:p>
          <w:p w:rsidR="00905FF0" w:rsidRPr="00F90C4E" w:rsidRDefault="00905FF0" w:rsidP="007A3A14">
            <w:pPr>
              <w:jc w:val="center"/>
              <w:rPr>
                <w:b/>
                <w:sz w:val="24"/>
              </w:rPr>
            </w:pPr>
            <w:r w:rsidRPr="00F90C4E">
              <w:rPr>
                <w:b/>
                <w:sz w:val="24"/>
              </w:rPr>
              <w:t>£000</w:t>
            </w:r>
          </w:p>
        </w:tc>
      </w:tr>
      <w:tr w:rsidR="00905FF0" w:rsidRPr="00D40964" w:rsidTr="00924A83">
        <w:trPr>
          <w:trHeight w:val="340"/>
        </w:trPr>
        <w:tc>
          <w:tcPr>
            <w:tcW w:w="3499" w:type="dxa"/>
            <w:tcBorders>
              <w:top w:val="single" w:sz="4" w:space="0" w:color="auto"/>
              <w:left w:val="single" w:sz="4" w:space="0" w:color="auto"/>
              <w:bottom w:val="single" w:sz="4" w:space="0" w:color="BFBFBF"/>
              <w:right w:val="nil"/>
            </w:tcBorders>
            <w:shd w:val="clear" w:color="auto" w:fill="auto"/>
            <w:vAlign w:val="center"/>
          </w:tcPr>
          <w:p w:rsidR="00905FF0" w:rsidRPr="00F90C4E" w:rsidRDefault="00905FF0" w:rsidP="007A3A14">
            <w:pPr>
              <w:tabs>
                <w:tab w:val="left" w:pos="2955"/>
              </w:tabs>
            </w:pPr>
            <w:r w:rsidRPr="00F90C4E">
              <w:t>Investment Property Rentals</w:t>
            </w:r>
          </w:p>
        </w:tc>
        <w:tc>
          <w:tcPr>
            <w:tcW w:w="1854" w:type="dxa"/>
            <w:tcBorders>
              <w:top w:val="single" w:sz="4" w:space="0" w:color="auto"/>
              <w:left w:val="nil"/>
              <w:bottom w:val="single" w:sz="4" w:space="0" w:color="BFBFBF"/>
              <w:right w:val="nil"/>
            </w:tcBorders>
            <w:vAlign w:val="center"/>
          </w:tcPr>
          <w:p w:rsidR="00905FF0" w:rsidRPr="00391229" w:rsidRDefault="00391229" w:rsidP="007A3A14">
            <w:pPr>
              <w:ind w:right="317"/>
              <w:jc w:val="right"/>
            </w:pPr>
            <w:r w:rsidRPr="00391229">
              <w:t>(1,052)</w:t>
            </w:r>
          </w:p>
        </w:tc>
        <w:tc>
          <w:tcPr>
            <w:tcW w:w="1548" w:type="dxa"/>
            <w:tcBorders>
              <w:top w:val="single" w:sz="4" w:space="0" w:color="auto"/>
              <w:left w:val="nil"/>
              <w:bottom w:val="single" w:sz="4" w:space="0" w:color="BFBFBF"/>
              <w:right w:val="nil"/>
            </w:tcBorders>
            <w:shd w:val="clear" w:color="auto" w:fill="auto"/>
            <w:vAlign w:val="center"/>
          </w:tcPr>
          <w:p w:rsidR="00905FF0" w:rsidRPr="00391229" w:rsidRDefault="00905FF0" w:rsidP="00391229">
            <w:pPr>
              <w:ind w:right="317"/>
              <w:jc w:val="right"/>
            </w:pPr>
            <w:r w:rsidRPr="00391229">
              <w:t>(1,</w:t>
            </w:r>
            <w:r w:rsidR="00391229" w:rsidRPr="00391229">
              <w:t>084</w:t>
            </w:r>
            <w:r w:rsidRPr="00391229">
              <w:t>)</w:t>
            </w:r>
          </w:p>
        </w:tc>
        <w:tc>
          <w:tcPr>
            <w:tcW w:w="1843" w:type="dxa"/>
            <w:tcBorders>
              <w:top w:val="single" w:sz="4" w:space="0" w:color="auto"/>
              <w:left w:val="nil"/>
              <w:bottom w:val="single" w:sz="4" w:space="0" w:color="BFBFBF"/>
              <w:right w:val="nil"/>
            </w:tcBorders>
            <w:shd w:val="clear" w:color="auto" w:fill="auto"/>
            <w:vAlign w:val="center"/>
          </w:tcPr>
          <w:p w:rsidR="00905FF0" w:rsidRPr="00391229" w:rsidRDefault="00905FF0" w:rsidP="00391229">
            <w:pPr>
              <w:ind w:right="317"/>
              <w:jc w:val="right"/>
            </w:pPr>
            <w:r w:rsidRPr="00391229">
              <w:t>(1,0</w:t>
            </w:r>
            <w:r w:rsidR="00391229" w:rsidRPr="00391229">
              <w:t>74</w:t>
            </w:r>
            <w:r w:rsidRPr="00391229">
              <w:t>)</w:t>
            </w:r>
          </w:p>
        </w:tc>
        <w:tc>
          <w:tcPr>
            <w:tcW w:w="1876" w:type="dxa"/>
            <w:tcBorders>
              <w:top w:val="single" w:sz="4" w:space="0" w:color="auto"/>
              <w:left w:val="nil"/>
              <w:bottom w:val="single" w:sz="4" w:space="0" w:color="BFBFBF"/>
              <w:right w:val="single" w:sz="4" w:space="0" w:color="auto"/>
            </w:tcBorders>
            <w:shd w:val="clear" w:color="auto" w:fill="auto"/>
            <w:vAlign w:val="center"/>
          </w:tcPr>
          <w:p w:rsidR="00905FF0" w:rsidRPr="00391229" w:rsidRDefault="00391229" w:rsidP="00391229">
            <w:pPr>
              <w:ind w:right="601"/>
              <w:jc w:val="right"/>
            </w:pPr>
            <w:r w:rsidRPr="00391229">
              <w:t>10</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Market rents</w:t>
            </w:r>
          </w:p>
        </w:tc>
        <w:tc>
          <w:tcPr>
            <w:tcW w:w="1854" w:type="dxa"/>
            <w:tcBorders>
              <w:top w:val="single" w:sz="4" w:space="0" w:color="BFBFBF"/>
              <w:left w:val="nil"/>
              <w:bottom w:val="single" w:sz="4" w:space="0" w:color="BFBFBF"/>
              <w:right w:val="nil"/>
            </w:tcBorders>
            <w:vAlign w:val="center"/>
          </w:tcPr>
          <w:p w:rsidR="007E614F" w:rsidRPr="0001108C" w:rsidRDefault="007E614F" w:rsidP="007E614F">
            <w:pPr>
              <w:ind w:right="317"/>
              <w:jc w:val="right"/>
            </w:pPr>
            <w:r w:rsidRPr="0001108C">
              <w:t>(131)</w:t>
            </w:r>
          </w:p>
        </w:tc>
        <w:tc>
          <w:tcPr>
            <w:tcW w:w="1548"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(135)</w:t>
            </w:r>
          </w:p>
        </w:tc>
        <w:tc>
          <w:tcPr>
            <w:tcW w:w="1843"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(131)</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01108C" w:rsidRDefault="007E614F" w:rsidP="007E614F">
            <w:pPr>
              <w:ind w:right="601"/>
              <w:jc w:val="right"/>
            </w:pPr>
            <w:r w:rsidRPr="0001108C">
              <w:t>4</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4C053F">
              <w:rPr>
                <w:rFonts w:cs="Arial"/>
                <w:szCs w:val="22"/>
              </w:rPr>
              <w:t>Civic Centre rental</w:t>
            </w:r>
            <w:r>
              <w:rPr>
                <w:rFonts w:cs="Arial"/>
                <w:szCs w:val="22"/>
              </w:rPr>
              <w:t xml:space="preserve"> / </w:t>
            </w:r>
            <w:r w:rsidRPr="004C053F">
              <w:rPr>
                <w:rFonts w:cs="Arial"/>
                <w:szCs w:val="22"/>
              </w:rPr>
              <w:t>room hire</w:t>
            </w:r>
          </w:p>
        </w:tc>
        <w:tc>
          <w:tcPr>
            <w:tcW w:w="1854" w:type="dxa"/>
            <w:tcBorders>
              <w:top w:val="single" w:sz="4" w:space="0" w:color="BFBFBF"/>
              <w:left w:val="nil"/>
              <w:bottom w:val="single" w:sz="4" w:space="0" w:color="BFBFBF"/>
              <w:right w:val="nil"/>
            </w:tcBorders>
            <w:vAlign w:val="center"/>
          </w:tcPr>
          <w:p w:rsidR="007E614F" w:rsidRPr="00383307" w:rsidRDefault="007E614F" w:rsidP="007E614F">
            <w:pPr>
              <w:ind w:right="317"/>
              <w:jc w:val="right"/>
            </w:pPr>
            <w:r w:rsidRPr="00383307">
              <w:t>(</w:t>
            </w:r>
            <w:r>
              <w:t>48</w:t>
            </w:r>
            <w:r w:rsidRPr="00383307">
              <w:t>)</w:t>
            </w:r>
          </w:p>
        </w:tc>
        <w:tc>
          <w:tcPr>
            <w:tcW w:w="1548" w:type="dxa"/>
            <w:tcBorders>
              <w:top w:val="single" w:sz="4" w:space="0" w:color="BFBFBF"/>
              <w:left w:val="nil"/>
              <w:bottom w:val="single" w:sz="4" w:space="0" w:color="BFBFBF"/>
              <w:right w:val="nil"/>
            </w:tcBorders>
            <w:shd w:val="clear" w:color="auto" w:fill="auto"/>
            <w:vAlign w:val="center"/>
          </w:tcPr>
          <w:p w:rsidR="007E614F" w:rsidRPr="00383307" w:rsidRDefault="007E614F" w:rsidP="007E614F">
            <w:pPr>
              <w:ind w:right="317"/>
              <w:jc w:val="right"/>
            </w:pPr>
            <w:r w:rsidRPr="00383307">
              <w:t>(</w:t>
            </w:r>
            <w:r>
              <w:t>6</w:t>
            </w:r>
            <w:r w:rsidRPr="00383307">
              <w:t>2)</w:t>
            </w:r>
          </w:p>
        </w:tc>
        <w:tc>
          <w:tcPr>
            <w:tcW w:w="1843" w:type="dxa"/>
            <w:tcBorders>
              <w:top w:val="single" w:sz="4" w:space="0" w:color="BFBFBF"/>
              <w:left w:val="nil"/>
              <w:bottom w:val="single" w:sz="4" w:space="0" w:color="BFBFBF"/>
              <w:right w:val="nil"/>
            </w:tcBorders>
            <w:shd w:val="clear" w:color="auto" w:fill="auto"/>
            <w:vAlign w:val="center"/>
          </w:tcPr>
          <w:p w:rsidR="007E614F" w:rsidRPr="00383307" w:rsidRDefault="007E614F" w:rsidP="007E614F">
            <w:pPr>
              <w:ind w:right="317"/>
              <w:jc w:val="right"/>
            </w:pPr>
            <w:r w:rsidRPr="00383307">
              <w:t>(</w:t>
            </w:r>
            <w:r>
              <w:t>83</w:t>
            </w:r>
            <w:r w:rsidRPr="00383307">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383307" w:rsidRDefault="007E614F" w:rsidP="007E614F">
            <w:pPr>
              <w:ind w:right="601"/>
              <w:jc w:val="right"/>
            </w:pPr>
            <w:r w:rsidRPr="00383307">
              <w:t>(</w:t>
            </w:r>
            <w:r>
              <w:t>21)</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Worden Craft Units</w:t>
            </w:r>
          </w:p>
        </w:tc>
        <w:tc>
          <w:tcPr>
            <w:tcW w:w="1854" w:type="dxa"/>
            <w:tcBorders>
              <w:top w:val="single" w:sz="4" w:space="0" w:color="BFBFBF"/>
              <w:left w:val="nil"/>
              <w:bottom w:val="single" w:sz="4" w:space="0" w:color="BFBFBF"/>
              <w:right w:val="nil"/>
            </w:tcBorders>
            <w:vAlign w:val="center"/>
          </w:tcPr>
          <w:p w:rsidR="007E614F" w:rsidRPr="00243B76" w:rsidRDefault="007E614F" w:rsidP="007E614F">
            <w:pPr>
              <w:ind w:right="317"/>
              <w:jc w:val="right"/>
            </w:pPr>
            <w:r w:rsidRPr="00243B76">
              <w:t>(12)</w:t>
            </w:r>
          </w:p>
        </w:tc>
        <w:tc>
          <w:tcPr>
            <w:tcW w:w="1548" w:type="dxa"/>
            <w:tcBorders>
              <w:top w:val="single" w:sz="4" w:space="0" w:color="BFBFBF"/>
              <w:left w:val="nil"/>
              <w:bottom w:val="single" w:sz="4" w:space="0" w:color="BFBFBF"/>
              <w:right w:val="nil"/>
            </w:tcBorders>
            <w:shd w:val="clear" w:color="auto" w:fill="auto"/>
            <w:vAlign w:val="center"/>
          </w:tcPr>
          <w:p w:rsidR="007E614F" w:rsidRPr="00243B76" w:rsidRDefault="007E614F" w:rsidP="007E614F">
            <w:pPr>
              <w:ind w:right="317"/>
              <w:jc w:val="right"/>
            </w:pPr>
            <w:r w:rsidRPr="00243B76">
              <w:t>(12)</w:t>
            </w:r>
          </w:p>
        </w:tc>
        <w:tc>
          <w:tcPr>
            <w:tcW w:w="1843" w:type="dxa"/>
            <w:tcBorders>
              <w:top w:val="single" w:sz="4" w:space="0" w:color="BFBFBF"/>
              <w:left w:val="nil"/>
              <w:bottom w:val="single" w:sz="4" w:space="0" w:color="BFBFBF"/>
              <w:right w:val="nil"/>
            </w:tcBorders>
            <w:shd w:val="clear" w:color="auto" w:fill="auto"/>
            <w:vAlign w:val="center"/>
          </w:tcPr>
          <w:p w:rsidR="007E614F" w:rsidRPr="00243B76" w:rsidRDefault="007E614F" w:rsidP="007E614F">
            <w:pPr>
              <w:ind w:right="317"/>
              <w:jc w:val="right"/>
            </w:pPr>
            <w:r w:rsidRPr="00243B76">
              <w:t>(13)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243B76" w:rsidRDefault="007E614F" w:rsidP="007E614F">
            <w:pPr>
              <w:ind w:right="601"/>
              <w:jc w:val="right"/>
            </w:pPr>
            <w:r w:rsidRPr="00243B76">
              <w:t>(1)</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Planning Fees</w:t>
            </w:r>
          </w:p>
        </w:tc>
        <w:tc>
          <w:tcPr>
            <w:tcW w:w="1854" w:type="dxa"/>
            <w:tcBorders>
              <w:top w:val="single" w:sz="4" w:space="0" w:color="BFBFBF"/>
              <w:left w:val="nil"/>
              <w:bottom w:val="single" w:sz="4" w:space="0" w:color="BFBFBF"/>
              <w:right w:val="nil"/>
            </w:tcBorders>
            <w:vAlign w:val="center"/>
          </w:tcPr>
          <w:p w:rsidR="007E614F" w:rsidRPr="00905FF0" w:rsidRDefault="007E614F" w:rsidP="007E614F">
            <w:pPr>
              <w:ind w:right="317"/>
              <w:jc w:val="right"/>
            </w:pPr>
            <w:r>
              <w:t>(643)</w:t>
            </w:r>
          </w:p>
        </w:tc>
        <w:tc>
          <w:tcPr>
            <w:tcW w:w="1548" w:type="dxa"/>
            <w:tcBorders>
              <w:top w:val="single" w:sz="4" w:space="0" w:color="BFBFBF"/>
              <w:left w:val="nil"/>
              <w:bottom w:val="single" w:sz="4" w:space="0" w:color="BFBFBF"/>
              <w:right w:val="nil"/>
            </w:tcBorders>
            <w:shd w:val="clear" w:color="auto" w:fill="auto"/>
            <w:vAlign w:val="center"/>
          </w:tcPr>
          <w:p w:rsidR="007E614F" w:rsidRPr="006D6606" w:rsidRDefault="007E614F" w:rsidP="007E614F">
            <w:pPr>
              <w:ind w:right="317"/>
              <w:jc w:val="right"/>
              <w:rPr>
                <w:color w:val="FF0000"/>
              </w:rPr>
            </w:pPr>
            <w:r w:rsidRPr="00905FF0">
              <w:t>(480)</w:t>
            </w:r>
          </w:p>
        </w:tc>
        <w:tc>
          <w:tcPr>
            <w:tcW w:w="1843" w:type="dxa"/>
            <w:tcBorders>
              <w:top w:val="single" w:sz="4" w:space="0" w:color="BFBFBF"/>
              <w:left w:val="nil"/>
              <w:bottom w:val="single" w:sz="4" w:space="0" w:color="BFBFBF"/>
              <w:right w:val="nil"/>
            </w:tcBorders>
            <w:shd w:val="clear" w:color="auto" w:fill="auto"/>
            <w:vAlign w:val="center"/>
          </w:tcPr>
          <w:p w:rsidR="007E614F" w:rsidRPr="00905FF0" w:rsidRDefault="007E614F" w:rsidP="007E614F">
            <w:pPr>
              <w:ind w:right="317"/>
              <w:jc w:val="right"/>
            </w:pPr>
            <w:r w:rsidRPr="00905FF0">
              <w:t>(454)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905FF0" w:rsidRDefault="007E614F" w:rsidP="007E614F">
            <w:pPr>
              <w:ind w:right="601"/>
              <w:jc w:val="right"/>
            </w:pPr>
            <w:r w:rsidRPr="00905FF0">
              <w:t>26</w:t>
            </w:r>
          </w:p>
        </w:tc>
      </w:tr>
      <w:tr w:rsidR="007E614F" w:rsidRPr="009C458C"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Building Control Fees</w:t>
            </w:r>
          </w:p>
        </w:tc>
        <w:tc>
          <w:tcPr>
            <w:tcW w:w="1854" w:type="dxa"/>
            <w:tcBorders>
              <w:top w:val="single" w:sz="4" w:space="0" w:color="BFBFBF"/>
              <w:left w:val="nil"/>
              <w:bottom w:val="single" w:sz="4" w:space="0" w:color="BFBFBF"/>
              <w:right w:val="nil"/>
            </w:tcBorders>
            <w:vAlign w:val="center"/>
          </w:tcPr>
          <w:p w:rsidR="007E614F" w:rsidRPr="009850EC" w:rsidRDefault="007E614F" w:rsidP="007E614F">
            <w:pPr>
              <w:ind w:right="317"/>
              <w:jc w:val="right"/>
            </w:pPr>
            <w:r w:rsidRPr="009850EC">
              <w:t>(185)</w:t>
            </w:r>
          </w:p>
        </w:tc>
        <w:tc>
          <w:tcPr>
            <w:tcW w:w="1548" w:type="dxa"/>
            <w:tcBorders>
              <w:top w:val="single" w:sz="4" w:space="0" w:color="BFBFBF"/>
              <w:left w:val="nil"/>
              <w:bottom w:val="single" w:sz="4" w:space="0" w:color="BFBFBF"/>
              <w:right w:val="nil"/>
            </w:tcBorders>
            <w:shd w:val="clear" w:color="auto" w:fill="auto"/>
            <w:vAlign w:val="center"/>
          </w:tcPr>
          <w:p w:rsidR="007E614F" w:rsidRPr="009850EC" w:rsidRDefault="007E614F" w:rsidP="007E614F">
            <w:pPr>
              <w:ind w:right="317"/>
              <w:jc w:val="right"/>
            </w:pPr>
            <w:r w:rsidRPr="009850EC">
              <w:t>(183)</w:t>
            </w:r>
          </w:p>
        </w:tc>
        <w:tc>
          <w:tcPr>
            <w:tcW w:w="1843" w:type="dxa"/>
            <w:tcBorders>
              <w:top w:val="single" w:sz="4" w:space="0" w:color="BFBFBF"/>
              <w:left w:val="nil"/>
              <w:bottom w:val="single" w:sz="4" w:space="0" w:color="BFBFBF"/>
              <w:right w:val="nil"/>
            </w:tcBorders>
            <w:shd w:val="clear" w:color="auto" w:fill="auto"/>
            <w:vAlign w:val="center"/>
          </w:tcPr>
          <w:p w:rsidR="007E614F" w:rsidRPr="009850EC" w:rsidRDefault="007E614F" w:rsidP="007E614F">
            <w:pPr>
              <w:ind w:right="317"/>
              <w:jc w:val="right"/>
            </w:pPr>
            <w:r w:rsidRPr="009850EC">
              <w:t>(220)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9850EC" w:rsidRDefault="007E614F" w:rsidP="007E614F">
            <w:pPr>
              <w:ind w:right="601"/>
              <w:jc w:val="right"/>
            </w:pPr>
            <w:r w:rsidRPr="009850EC">
              <w:t>(37)</w:t>
            </w:r>
          </w:p>
        </w:tc>
      </w:tr>
      <w:tr w:rsidR="007E614F" w:rsidRPr="00D40964"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Interest on Investments</w:t>
            </w:r>
          </w:p>
        </w:tc>
        <w:tc>
          <w:tcPr>
            <w:tcW w:w="1854" w:type="dxa"/>
            <w:tcBorders>
              <w:top w:val="single" w:sz="4" w:space="0" w:color="BFBFBF"/>
              <w:left w:val="nil"/>
              <w:bottom w:val="single" w:sz="4" w:space="0" w:color="BFBFBF"/>
              <w:right w:val="nil"/>
            </w:tcBorders>
            <w:vAlign w:val="center"/>
          </w:tcPr>
          <w:p w:rsidR="007E614F" w:rsidRPr="00905FF0" w:rsidRDefault="007E614F" w:rsidP="007E614F">
            <w:pPr>
              <w:ind w:right="317"/>
              <w:jc w:val="right"/>
            </w:pPr>
            <w:r>
              <w:t>(179)</w:t>
            </w:r>
          </w:p>
        </w:tc>
        <w:tc>
          <w:tcPr>
            <w:tcW w:w="1548" w:type="dxa"/>
            <w:tcBorders>
              <w:top w:val="single" w:sz="4" w:space="0" w:color="BFBFBF"/>
              <w:left w:val="nil"/>
              <w:bottom w:val="single" w:sz="4" w:space="0" w:color="BFBFBF"/>
              <w:right w:val="nil"/>
            </w:tcBorders>
            <w:shd w:val="clear" w:color="auto" w:fill="auto"/>
            <w:vAlign w:val="center"/>
          </w:tcPr>
          <w:p w:rsidR="007E614F" w:rsidRPr="00905FF0" w:rsidRDefault="007E614F" w:rsidP="007E614F">
            <w:pPr>
              <w:ind w:right="317"/>
              <w:jc w:val="right"/>
            </w:pPr>
            <w:r w:rsidRPr="00905FF0">
              <w:t>(220)</w:t>
            </w:r>
          </w:p>
        </w:tc>
        <w:tc>
          <w:tcPr>
            <w:tcW w:w="1843" w:type="dxa"/>
            <w:tcBorders>
              <w:top w:val="single" w:sz="4" w:space="0" w:color="BFBFBF"/>
              <w:left w:val="nil"/>
              <w:bottom w:val="single" w:sz="4" w:space="0" w:color="BFBFBF"/>
              <w:right w:val="nil"/>
            </w:tcBorders>
            <w:shd w:val="clear" w:color="auto" w:fill="auto"/>
            <w:vAlign w:val="center"/>
          </w:tcPr>
          <w:p w:rsidR="007E614F" w:rsidRPr="00905FF0" w:rsidRDefault="007E614F" w:rsidP="007E614F">
            <w:pPr>
              <w:ind w:right="317"/>
              <w:jc w:val="right"/>
            </w:pPr>
            <w:r w:rsidRPr="00905FF0">
              <w:t>(303)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905FF0" w:rsidRDefault="007E614F" w:rsidP="007E614F">
            <w:pPr>
              <w:ind w:right="601"/>
              <w:jc w:val="right"/>
            </w:pPr>
            <w:r w:rsidRPr="00905FF0">
              <w:t>(</w:t>
            </w:r>
            <w:r>
              <w:t>83</w:t>
            </w:r>
            <w:r w:rsidRPr="00905FF0">
              <w:t>)</w:t>
            </w:r>
          </w:p>
        </w:tc>
      </w:tr>
      <w:tr w:rsidR="007E614F" w:rsidRPr="00D21011"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Pest Control Fees</w:t>
            </w:r>
            <w:r>
              <w:t>/contracts</w:t>
            </w:r>
          </w:p>
        </w:tc>
        <w:tc>
          <w:tcPr>
            <w:tcW w:w="1854" w:type="dxa"/>
            <w:tcBorders>
              <w:top w:val="single" w:sz="4" w:space="0" w:color="BFBFBF"/>
              <w:left w:val="nil"/>
              <w:bottom w:val="single" w:sz="4" w:space="0" w:color="BFBFBF"/>
              <w:right w:val="nil"/>
            </w:tcBorders>
            <w:vAlign w:val="center"/>
          </w:tcPr>
          <w:p w:rsidR="007E614F" w:rsidRPr="006D6606" w:rsidRDefault="007E614F" w:rsidP="007E614F">
            <w:pPr>
              <w:ind w:right="317"/>
              <w:jc w:val="right"/>
              <w:rPr>
                <w:color w:val="FF0000"/>
              </w:rPr>
            </w:pPr>
            <w:r w:rsidRPr="00784AF9">
              <w:t>(</w:t>
            </w:r>
            <w:r>
              <w:t>3</w:t>
            </w:r>
            <w:r w:rsidRPr="00784AF9">
              <w:t>4)</w:t>
            </w:r>
          </w:p>
        </w:tc>
        <w:tc>
          <w:tcPr>
            <w:tcW w:w="1548" w:type="dxa"/>
            <w:tcBorders>
              <w:top w:val="single" w:sz="4" w:space="0" w:color="BFBFBF"/>
              <w:left w:val="nil"/>
              <w:bottom w:val="single" w:sz="4" w:space="0" w:color="BFBFBF"/>
              <w:right w:val="nil"/>
            </w:tcBorders>
            <w:shd w:val="clear" w:color="auto" w:fill="auto"/>
            <w:vAlign w:val="center"/>
          </w:tcPr>
          <w:p w:rsidR="007E614F" w:rsidRPr="002D7F01" w:rsidRDefault="007E614F" w:rsidP="007E614F">
            <w:pPr>
              <w:ind w:right="317"/>
              <w:jc w:val="right"/>
            </w:pPr>
            <w:r w:rsidRPr="002D7F01">
              <w:t>(</w:t>
            </w:r>
            <w:r>
              <w:t>40</w:t>
            </w:r>
            <w:r w:rsidRPr="002D7F01">
              <w:t>)</w:t>
            </w:r>
          </w:p>
        </w:tc>
        <w:tc>
          <w:tcPr>
            <w:tcW w:w="1843" w:type="dxa"/>
            <w:tcBorders>
              <w:top w:val="single" w:sz="4" w:space="0" w:color="BFBFBF"/>
              <w:left w:val="nil"/>
              <w:bottom w:val="single" w:sz="4" w:space="0" w:color="BFBFBF"/>
              <w:right w:val="nil"/>
            </w:tcBorders>
            <w:shd w:val="clear" w:color="auto" w:fill="auto"/>
            <w:vAlign w:val="center"/>
          </w:tcPr>
          <w:p w:rsidR="007E614F" w:rsidRPr="002D7F01" w:rsidRDefault="007E614F" w:rsidP="007E614F">
            <w:pPr>
              <w:ind w:right="317"/>
              <w:jc w:val="right"/>
            </w:pPr>
            <w:r w:rsidRPr="002D7F01">
              <w:t>(40)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2D7F01" w:rsidRDefault="007E614F" w:rsidP="007E614F">
            <w:pPr>
              <w:ind w:right="601"/>
              <w:jc w:val="right"/>
            </w:pPr>
            <w:r>
              <w:t xml:space="preserve"> - </w:t>
            </w:r>
          </w:p>
        </w:tc>
      </w:tr>
      <w:tr w:rsidR="007E614F" w:rsidRPr="00624F18"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 xml:space="preserve">Environmental Permits </w:t>
            </w:r>
          </w:p>
        </w:tc>
        <w:tc>
          <w:tcPr>
            <w:tcW w:w="1854" w:type="dxa"/>
            <w:tcBorders>
              <w:top w:val="single" w:sz="4" w:space="0" w:color="BFBFBF"/>
              <w:left w:val="nil"/>
              <w:bottom w:val="single" w:sz="4" w:space="0" w:color="BFBFBF"/>
              <w:right w:val="nil"/>
            </w:tcBorders>
            <w:vAlign w:val="center"/>
          </w:tcPr>
          <w:p w:rsidR="007E614F" w:rsidRPr="00DC0F9D" w:rsidRDefault="007E614F" w:rsidP="007E614F">
            <w:pPr>
              <w:ind w:right="317"/>
              <w:jc w:val="right"/>
            </w:pPr>
            <w:r w:rsidRPr="00DC0F9D">
              <w:t>(19)</w:t>
            </w:r>
          </w:p>
        </w:tc>
        <w:tc>
          <w:tcPr>
            <w:tcW w:w="1548" w:type="dxa"/>
            <w:tcBorders>
              <w:top w:val="single" w:sz="4" w:space="0" w:color="BFBFBF"/>
              <w:left w:val="nil"/>
              <w:bottom w:val="single" w:sz="4" w:space="0" w:color="BFBFBF"/>
              <w:right w:val="nil"/>
            </w:tcBorders>
            <w:shd w:val="clear" w:color="auto" w:fill="auto"/>
            <w:vAlign w:val="center"/>
          </w:tcPr>
          <w:p w:rsidR="007E614F" w:rsidRPr="00DC0F9D" w:rsidRDefault="007E614F" w:rsidP="007E614F">
            <w:pPr>
              <w:ind w:right="317"/>
              <w:jc w:val="right"/>
            </w:pPr>
            <w:r w:rsidRPr="00DC0F9D">
              <w:t>(19)</w:t>
            </w:r>
          </w:p>
        </w:tc>
        <w:tc>
          <w:tcPr>
            <w:tcW w:w="1843" w:type="dxa"/>
            <w:tcBorders>
              <w:top w:val="single" w:sz="4" w:space="0" w:color="BFBFBF"/>
              <w:left w:val="nil"/>
              <w:bottom w:val="single" w:sz="4" w:space="0" w:color="BFBFBF"/>
              <w:right w:val="nil"/>
            </w:tcBorders>
            <w:shd w:val="clear" w:color="auto" w:fill="auto"/>
            <w:vAlign w:val="center"/>
          </w:tcPr>
          <w:p w:rsidR="007E614F" w:rsidRPr="00DC0F9D" w:rsidRDefault="007E614F" w:rsidP="007E614F">
            <w:pPr>
              <w:ind w:right="317"/>
              <w:jc w:val="right"/>
            </w:pPr>
            <w:r w:rsidRPr="00DC0F9D">
              <w:t>(21)</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DC0F9D" w:rsidRDefault="007E614F" w:rsidP="007E614F">
            <w:pPr>
              <w:ind w:right="601"/>
              <w:jc w:val="right"/>
            </w:pPr>
            <w:r w:rsidRPr="00DC0F9D">
              <w:t>(2)</w:t>
            </w:r>
          </w:p>
        </w:tc>
      </w:tr>
      <w:tr w:rsidR="007E614F" w:rsidRPr="00AC065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 xml:space="preserve">Car Parking Charges/Permits </w:t>
            </w:r>
          </w:p>
        </w:tc>
        <w:tc>
          <w:tcPr>
            <w:tcW w:w="1854" w:type="dxa"/>
            <w:tcBorders>
              <w:top w:val="single" w:sz="4" w:space="0" w:color="BFBFBF"/>
              <w:left w:val="nil"/>
              <w:bottom w:val="single" w:sz="4" w:space="0" w:color="BFBFBF"/>
              <w:right w:val="nil"/>
            </w:tcBorders>
            <w:vAlign w:val="center"/>
          </w:tcPr>
          <w:p w:rsidR="007E614F" w:rsidRPr="0001108C" w:rsidRDefault="007E614F" w:rsidP="007E614F">
            <w:pPr>
              <w:ind w:right="317"/>
              <w:jc w:val="right"/>
            </w:pPr>
            <w:r w:rsidRPr="0001108C">
              <w:t>(117)</w:t>
            </w:r>
          </w:p>
        </w:tc>
        <w:tc>
          <w:tcPr>
            <w:tcW w:w="1548"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(112)</w:t>
            </w:r>
          </w:p>
        </w:tc>
        <w:tc>
          <w:tcPr>
            <w:tcW w:w="1843"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(113)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01108C" w:rsidRDefault="007E614F" w:rsidP="007E614F">
            <w:pPr>
              <w:ind w:right="601"/>
              <w:jc w:val="right"/>
            </w:pPr>
            <w:r w:rsidRPr="0001108C">
              <w:t>(1)</w:t>
            </w:r>
          </w:p>
        </w:tc>
      </w:tr>
      <w:tr w:rsidR="007E614F" w:rsidRPr="001B7ACD"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 xml:space="preserve">Car Parking PCN fines </w:t>
            </w:r>
          </w:p>
        </w:tc>
        <w:tc>
          <w:tcPr>
            <w:tcW w:w="1854" w:type="dxa"/>
            <w:tcBorders>
              <w:top w:val="single" w:sz="4" w:space="0" w:color="BFBFBF"/>
              <w:left w:val="nil"/>
              <w:bottom w:val="single" w:sz="4" w:space="0" w:color="BFBFBF"/>
              <w:right w:val="nil"/>
            </w:tcBorders>
            <w:vAlign w:val="center"/>
          </w:tcPr>
          <w:p w:rsidR="007E614F" w:rsidRPr="0001108C" w:rsidRDefault="007E614F" w:rsidP="007E614F">
            <w:pPr>
              <w:ind w:right="317"/>
              <w:jc w:val="right"/>
            </w:pPr>
            <w:r w:rsidRPr="0001108C">
              <w:t>(30)</w:t>
            </w:r>
          </w:p>
        </w:tc>
        <w:tc>
          <w:tcPr>
            <w:tcW w:w="1548"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(25)</w:t>
            </w:r>
          </w:p>
        </w:tc>
        <w:tc>
          <w:tcPr>
            <w:tcW w:w="1843"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(23)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01108C" w:rsidRDefault="007E614F" w:rsidP="007E614F">
            <w:pPr>
              <w:ind w:right="601"/>
              <w:jc w:val="right"/>
            </w:pPr>
            <w:r w:rsidRPr="0001108C">
              <w:t>2</w:t>
            </w:r>
          </w:p>
        </w:tc>
      </w:tr>
      <w:tr w:rsidR="007E614F" w:rsidRPr="00FC5D53"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Land Charges</w:t>
            </w:r>
            <w:r>
              <w:t xml:space="preserve"> Fees</w:t>
            </w:r>
          </w:p>
        </w:tc>
        <w:tc>
          <w:tcPr>
            <w:tcW w:w="1854" w:type="dxa"/>
            <w:tcBorders>
              <w:top w:val="single" w:sz="4" w:space="0" w:color="BFBFBF"/>
              <w:left w:val="nil"/>
              <w:bottom w:val="single" w:sz="4" w:space="0" w:color="BFBFBF"/>
              <w:right w:val="nil"/>
            </w:tcBorders>
            <w:vAlign w:val="center"/>
          </w:tcPr>
          <w:p w:rsidR="007E614F" w:rsidRPr="006D620A" w:rsidRDefault="007E614F" w:rsidP="007E614F">
            <w:pPr>
              <w:ind w:right="317"/>
              <w:jc w:val="right"/>
            </w:pPr>
            <w:r w:rsidRPr="006D620A">
              <w:t>(99)</w:t>
            </w:r>
          </w:p>
        </w:tc>
        <w:tc>
          <w:tcPr>
            <w:tcW w:w="1548" w:type="dxa"/>
            <w:tcBorders>
              <w:top w:val="single" w:sz="4" w:space="0" w:color="BFBFBF"/>
              <w:left w:val="nil"/>
              <w:bottom w:val="single" w:sz="4" w:space="0" w:color="BFBFBF"/>
              <w:right w:val="nil"/>
            </w:tcBorders>
            <w:shd w:val="clear" w:color="auto" w:fill="auto"/>
            <w:vAlign w:val="center"/>
          </w:tcPr>
          <w:p w:rsidR="007E614F" w:rsidRPr="006D620A" w:rsidRDefault="007E614F" w:rsidP="007E614F">
            <w:pPr>
              <w:ind w:right="317"/>
              <w:jc w:val="right"/>
            </w:pPr>
            <w:r w:rsidRPr="006D620A">
              <w:t>(100)</w:t>
            </w:r>
          </w:p>
        </w:tc>
        <w:tc>
          <w:tcPr>
            <w:tcW w:w="1843" w:type="dxa"/>
            <w:tcBorders>
              <w:top w:val="single" w:sz="4" w:space="0" w:color="BFBFBF"/>
              <w:left w:val="nil"/>
              <w:bottom w:val="single" w:sz="4" w:space="0" w:color="BFBFBF"/>
              <w:right w:val="nil"/>
            </w:tcBorders>
            <w:shd w:val="clear" w:color="auto" w:fill="auto"/>
            <w:vAlign w:val="center"/>
          </w:tcPr>
          <w:p w:rsidR="007E614F" w:rsidRPr="006D620A" w:rsidRDefault="007E614F" w:rsidP="007E614F">
            <w:pPr>
              <w:ind w:right="317"/>
              <w:jc w:val="right"/>
            </w:pPr>
            <w:r w:rsidRPr="006D620A">
              <w:t>(95)</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6D620A" w:rsidRDefault="007E614F" w:rsidP="007E614F">
            <w:pPr>
              <w:ind w:right="601"/>
              <w:jc w:val="right"/>
            </w:pPr>
            <w:r w:rsidRPr="006D620A">
              <w:t>5</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Taxi Licensing Fees</w:t>
            </w:r>
          </w:p>
        </w:tc>
        <w:tc>
          <w:tcPr>
            <w:tcW w:w="1854" w:type="dxa"/>
            <w:tcBorders>
              <w:top w:val="single" w:sz="4" w:space="0" w:color="BFBFBF"/>
              <w:left w:val="nil"/>
              <w:bottom w:val="single" w:sz="4" w:space="0" w:color="BFBFBF"/>
              <w:right w:val="nil"/>
            </w:tcBorders>
            <w:vAlign w:val="center"/>
          </w:tcPr>
          <w:p w:rsidR="007E614F" w:rsidRPr="006D6606" w:rsidRDefault="007E614F" w:rsidP="007E614F">
            <w:pPr>
              <w:ind w:right="317"/>
              <w:jc w:val="right"/>
              <w:rPr>
                <w:color w:val="FF0000"/>
              </w:rPr>
            </w:pPr>
            <w:r w:rsidRPr="000918EF">
              <w:t>(75)</w:t>
            </w:r>
          </w:p>
        </w:tc>
        <w:tc>
          <w:tcPr>
            <w:tcW w:w="1548" w:type="dxa"/>
            <w:tcBorders>
              <w:top w:val="single" w:sz="4" w:space="0" w:color="BFBFBF"/>
              <w:left w:val="nil"/>
              <w:bottom w:val="single" w:sz="4" w:space="0" w:color="BFBFBF"/>
              <w:right w:val="nil"/>
            </w:tcBorders>
            <w:shd w:val="clear" w:color="auto" w:fill="auto"/>
            <w:vAlign w:val="center"/>
          </w:tcPr>
          <w:p w:rsidR="007E614F" w:rsidRPr="00E8045F" w:rsidRDefault="007E614F" w:rsidP="007E614F">
            <w:pPr>
              <w:ind w:right="317"/>
              <w:jc w:val="right"/>
            </w:pPr>
            <w:r w:rsidRPr="00E8045F">
              <w:t>(</w:t>
            </w:r>
            <w:r>
              <w:t>74</w:t>
            </w:r>
            <w:r w:rsidRPr="00E8045F">
              <w:t>)</w:t>
            </w:r>
          </w:p>
        </w:tc>
        <w:tc>
          <w:tcPr>
            <w:tcW w:w="1843" w:type="dxa"/>
            <w:tcBorders>
              <w:top w:val="single" w:sz="4" w:space="0" w:color="BFBFBF"/>
              <w:left w:val="nil"/>
              <w:bottom w:val="single" w:sz="4" w:space="0" w:color="BFBFBF"/>
              <w:right w:val="nil"/>
            </w:tcBorders>
            <w:shd w:val="clear" w:color="auto" w:fill="auto"/>
            <w:vAlign w:val="center"/>
          </w:tcPr>
          <w:p w:rsidR="007E614F" w:rsidRPr="00E8045F" w:rsidRDefault="007E614F" w:rsidP="007E614F">
            <w:pPr>
              <w:ind w:right="317"/>
              <w:jc w:val="right"/>
            </w:pPr>
            <w:r w:rsidRPr="00E8045F">
              <w:t>(</w:t>
            </w:r>
            <w:r>
              <w:t>74</w:t>
            </w:r>
            <w:r w:rsidRPr="00E8045F">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E8045F" w:rsidRDefault="007E614F" w:rsidP="007E614F">
            <w:pPr>
              <w:ind w:right="601"/>
              <w:jc w:val="right"/>
            </w:pPr>
            <w:r>
              <w:t xml:space="preserve"> - </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rPr>
                <w:rFonts w:cs="Arial"/>
                <w:szCs w:val="22"/>
              </w:rPr>
              <w:t>Licensing - Premises</w:t>
            </w:r>
          </w:p>
        </w:tc>
        <w:tc>
          <w:tcPr>
            <w:tcW w:w="1854" w:type="dxa"/>
            <w:tcBorders>
              <w:top w:val="single" w:sz="4" w:space="0" w:color="BFBFBF"/>
              <w:left w:val="nil"/>
              <w:bottom w:val="single" w:sz="4" w:space="0" w:color="BFBFBF"/>
              <w:right w:val="nil"/>
            </w:tcBorders>
            <w:vAlign w:val="center"/>
          </w:tcPr>
          <w:p w:rsidR="007E614F" w:rsidRPr="00C521FD" w:rsidRDefault="007E614F" w:rsidP="007E614F">
            <w:pPr>
              <w:ind w:right="317"/>
              <w:jc w:val="right"/>
            </w:pPr>
            <w:r w:rsidRPr="00C521FD">
              <w:t>(62)</w:t>
            </w:r>
          </w:p>
        </w:tc>
        <w:tc>
          <w:tcPr>
            <w:tcW w:w="1548" w:type="dxa"/>
            <w:tcBorders>
              <w:top w:val="single" w:sz="4" w:space="0" w:color="BFBFBF"/>
              <w:left w:val="nil"/>
              <w:bottom w:val="single" w:sz="4" w:space="0" w:color="BFBFBF"/>
              <w:right w:val="nil"/>
            </w:tcBorders>
            <w:shd w:val="clear" w:color="auto" w:fill="auto"/>
            <w:vAlign w:val="center"/>
          </w:tcPr>
          <w:p w:rsidR="007E614F" w:rsidRPr="00C521FD" w:rsidRDefault="007E614F" w:rsidP="007E614F">
            <w:pPr>
              <w:ind w:right="317"/>
              <w:jc w:val="right"/>
            </w:pPr>
            <w:r w:rsidRPr="00C521FD">
              <w:t>(63)</w:t>
            </w:r>
          </w:p>
        </w:tc>
        <w:tc>
          <w:tcPr>
            <w:tcW w:w="1843" w:type="dxa"/>
            <w:tcBorders>
              <w:top w:val="single" w:sz="4" w:space="0" w:color="BFBFBF"/>
              <w:left w:val="nil"/>
              <w:bottom w:val="single" w:sz="4" w:space="0" w:color="BFBFBF"/>
              <w:right w:val="nil"/>
            </w:tcBorders>
            <w:shd w:val="clear" w:color="auto" w:fill="auto"/>
            <w:vAlign w:val="center"/>
          </w:tcPr>
          <w:p w:rsidR="007E614F" w:rsidRPr="00C521FD" w:rsidRDefault="007E614F" w:rsidP="007E614F">
            <w:pPr>
              <w:ind w:right="317"/>
              <w:jc w:val="right"/>
            </w:pPr>
            <w:r w:rsidRPr="00C521FD">
              <w:t>(68)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C521FD" w:rsidRDefault="007E614F" w:rsidP="007E614F">
            <w:pPr>
              <w:ind w:right="601"/>
              <w:jc w:val="right"/>
            </w:pPr>
            <w:r w:rsidRPr="00C521FD">
              <w:t>(5)</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Licensing – street traders</w:t>
            </w:r>
          </w:p>
        </w:tc>
        <w:tc>
          <w:tcPr>
            <w:tcW w:w="1854" w:type="dxa"/>
            <w:tcBorders>
              <w:top w:val="single" w:sz="4" w:space="0" w:color="BFBFBF"/>
              <w:left w:val="nil"/>
              <w:bottom w:val="single" w:sz="4" w:space="0" w:color="BFBFBF"/>
              <w:right w:val="nil"/>
            </w:tcBorders>
            <w:vAlign w:val="center"/>
          </w:tcPr>
          <w:p w:rsidR="007E614F" w:rsidRPr="00E91C7B" w:rsidRDefault="007E614F" w:rsidP="007E614F">
            <w:pPr>
              <w:ind w:right="317"/>
              <w:jc w:val="right"/>
            </w:pPr>
            <w:r w:rsidRPr="00E91C7B">
              <w:t>(26)</w:t>
            </w:r>
          </w:p>
        </w:tc>
        <w:tc>
          <w:tcPr>
            <w:tcW w:w="1548" w:type="dxa"/>
            <w:tcBorders>
              <w:top w:val="single" w:sz="4" w:space="0" w:color="BFBFBF"/>
              <w:left w:val="nil"/>
              <w:bottom w:val="single" w:sz="4" w:space="0" w:color="BFBFBF"/>
              <w:right w:val="nil"/>
            </w:tcBorders>
            <w:shd w:val="clear" w:color="auto" w:fill="auto"/>
            <w:vAlign w:val="center"/>
          </w:tcPr>
          <w:p w:rsidR="007E614F" w:rsidRPr="00E91C7B" w:rsidRDefault="007E614F" w:rsidP="007E614F">
            <w:pPr>
              <w:ind w:right="317"/>
              <w:jc w:val="right"/>
            </w:pPr>
            <w:r w:rsidRPr="00E91C7B">
              <w:t>(27)</w:t>
            </w:r>
          </w:p>
        </w:tc>
        <w:tc>
          <w:tcPr>
            <w:tcW w:w="1843" w:type="dxa"/>
            <w:tcBorders>
              <w:top w:val="single" w:sz="4" w:space="0" w:color="BFBFBF"/>
              <w:left w:val="nil"/>
              <w:bottom w:val="single" w:sz="4" w:space="0" w:color="BFBFBF"/>
              <w:right w:val="nil"/>
            </w:tcBorders>
            <w:shd w:val="clear" w:color="auto" w:fill="auto"/>
            <w:vAlign w:val="center"/>
          </w:tcPr>
          <w:p w:rsidR="007E614F" w:rsidRPr="00E91C7B" w:rsidRDefault="007E614F" w:rsidP="007E614F">
            <w:pPr>
              <w:ind w:right="317"/>
              <w:jc w:val="right"/>
            </w:pPr>
            <w:r w:rsidRPr="00E91C7B">
              <w:t>(28)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E91C7B" w:rsidRDefault="007E614F" w:rsidP="007E614F">
            <w:pPr>
              <w:ind w:right="601"/>
              <w:jc w:val="right"/>
            </w:pPr>
            <w:r w:rsidRPr="00E91C7B">
              <w:t>(1)</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Licensing - other</w:t>
            </w:r>
          </w:p>
        </w:tc>
        <w:tc>
          <w:tcPr>
            <w:tcW w:w="1854" w:type="dxa"/>
            <w:tcBorders>
              <w:top w:val="single" w:sz="4" w:space="0" w:color="BFBFBF"/>
              <w:left w:val="nil"/>
              <w:bottom w:val="single" w:sz="4" w:space="0" w:color="BFBFBF"/>
              <w:right w:val="nil"/>
            </w:tcBorders>
            <w:vAlign w:val="center"/>
          </w:tcPr>
          <w:p w:rsidR="007E614F" w:rsidRPr="00784AF9" w:rsidRDefault="007E614F" w:rsidP="007E614F">
            <w:pPr>
              <w:ind w:right="317"/>
              <w:jc w:val="right"/>
            </w:pPr>
            <w:r w:rsidRPr="00784AF9">
              <w:t>(19)</w:t>
            </w:r>
          </w:p>
        </w:tc>
        <w:tc>
          <w:tcPr>
            <w:tcW w:w="1548" w:type="dxa"/>
            <w:tcBorders>
              <w:top w:val="single" w:sz="4" w:space="0" w:color="BFBFBF"/>
              <w:left w:val="nil"/>
              <w:bottom w:val="single" w:sz="4" w:space="0" w:color="BFBFBF"/>
              <w:right w:val="nil"/>
            </w:tcBorders>
            <w:shd w:val="clear" w:color="auto" w:fill="auto"/>
            <w:vAlign w:val="center"/>
          </w:tcPr>
          <w:p w:rsidR="007E614F" w:rsidRPr="00784AF9" w:rsidRDefault="007E614F" w:rsidP="007E614F">
            <w:pPr>
              <w:ind w:right="317"/>
              <w:jc w:val="right"/>
            </w:pPr>
            <w:r w:rsidRPr="00784AF9">
              <w:t>(19)</w:t>
            </w:r>
          </w:p>
        </w:tc>
        <w:tc>
          <w:tcPr>
            <w:tcW w:w="1843" w:type="dxa"/>
            <w:tcBorders>
              <w:top w:val="single" w:sz="4" w:space="0" w:color="BFBFBF"/>
              <w:left w:val="nil"/>
              <w:bottom w:val="single" w:sz="4" w:space="0" w:color="BFBFBF"/>
              <w:right w:val="nil"/>
            </w:tcBorders>
            <w:shd w:val="clear" w:color="auto" w:fill="auto"/>
            <w:vAlign w:val="center"/>
          </w:tcPr>
          <w:p w:rsidR="007E614F" w:rsidRPr="00784AF9" w:rsidRDefault="007E614F" w:rsidP="007E614F">
            <w:pPr>
              <w:ind w:right="317"/>
              <w:jc w:val="right"/>
            </w:pPr>
            <w:r w:rsidRPr="00784AF9">
              <w:t>(25)</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784AF9" w:rsidRDefault="007E614F" w:rsidP="007E614F">
            <w:pPr>
              <w:ind w:right="601"/>
              <w:jc w:val="right"/>
            </w:pPr>
            <w:r w:rsidRPr="00784AF9">
              <w:t>(6)</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Community Coaching income</w:t>
            </w:r>
          </w:p>
        </w:tc>
        <w:tc>
          <w:tcPr>
            <w:tcW w:w="1854" w:type="dxa"/>
            <w:tcBorders>
              <w:top w:val="single" w:sz="4" w:space="0" w:color="BFBFBF"/>
              <w:left w:val="nil"/>
              <w:bottom w:val="single" w:sz="4" w:space="0" w:color="BFBFBF"/>
              <w:right w:val="nil"/>
            </w:tcBorders>
            <w:vAlign w:val="center"/>
          </w:tcPr>
          <w:p w:rsidR="007E614F" w:rsidRPr="00242499" w:rsidRDefault="007E614F" w:rsidP="007E614F">
            <w:pPr>
              <w:ind w:right="317"/>
              <w:jc w:val="right"/>
            </w:pPr>
            <w:r w:rsidRPr="00242499">
              <w:t>(228)</w:t>
            </w:r>
          </w:p>
        </w:tc>
        <w:tc>
          <w:tcPr>
            <w:tcW w:w="1548" w:type="dxa"/>
            <w:tcBorders>
              <w:top w:val="single" w:sz="4" w:space="0" w:color="BFBFBF"/>
              <w:left w:val="nil"/>
              <w:bottom w:val="single" w:sz="4" w:space="0" w:color="BFBFBF"/>
              <w:right w:val="nil"/>
            </w:tcBorders>
            <w:shd w:val="clear" w:color="auto" w:fill="auto"/>
            <w:vAlign w:val="center"/>
          </w:tcPr>
          <w:p w:rsidR="007E614F" w:rsidRPr="00242499" w:rsidRDefault="007E614F" w:rsidP="007E614F">
            <w:pPr>
              <w:ind w:right="317"/>
              <w:jc w:val="right"/>
            </w:pPr>
            <w:r w:rsidRPr="00242499">
              <w:t>(236)</w:t>
            </w:r>
          </w:p>
        </w:tc>
        <w:tc>
          <w:tcPr>
            <w:tcW w:w="1843" w:type="dxa"/>
            <w:tcBorders>
              <w:top w:val="single" w:sz="4" w:space="0" w:color="BFBFBF"/>
              <w:left w:val="nil"/>
              <w:bottom w:val="single" w:sz="4" w:space="0" w:color="BFBFBF"/>
              <w:right w:val="nil"/>
            </w:tcBorders>
            <w:shd w:val="clear" w:color="auto" w:fill="auto"/>
            <w:vAlign w:val="center"/>
          </w:tcPr>
          <w:p w:rsidR="007E614F" w:rsidRPr="00242499" w:rsidRDefault="007E614F" w:rsidP="007E614F">
            <w:pPr>
              <w:ind w:right="317"/>
              <w:jc w:val="right"/>
            </w:pPr>
            <w:r w:rsidRPr="00242499">
              <w:t>(234)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242499" w:rsidRDefault="007E614F" w:rsidP="007E614F">
            <w:pPr>
              <w:ind w:right="601"/>
              <w:jc w:val="right"/>
            </w:pPr>
            <w:r w:rsidRPr="00242499">
              <w:t>2</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Court summons costs recovered</w:t>
            </w:r>
          </w:p>
        </w:tc>
        <w:tc>
          <w:tcPr>
            <w:tcW w:w="1854" w:type="dxa"/>
            <w:tcBorders>
              <w:top w:val="single" w:sz="4" w:space="0" w:color="BFBFBF"/>
              <w:left w:val="nil"/>
              <w:bottom w:val="single" w:sz="4" w:space="0" w:color="BFBFBF"/>
              <w:right w:val="nil"/>
            </w:tcBorders>
            <w:vAlign w:val="center"/>
          </w:tcPr>
          <w:p w:rsidR="007E614F" w:rsidRPr="00432C61" w:rsidRDefault="007E614F" w:rsidP="007E614F">
            <w:pPr>
              <w:ind w:right="317"/>
              <w:jc w:val="right"/>
            </w:pPr>
            <w:r w:rsidRPr="00432C61">
              <w:t>(208)</w:t>
            </w:r>
          </w:p>
        </w:tc>
        <w:tc>
          <w:tcPr>
            <w:tcW w:w="1548" w:type="dxa"/>
            <w:tcBorders>
              <w:top w:val="single" w:sz="4" w:space="0" w:color="BFBFBF"/>
              <w:left w:val="nil"/>
              <w:bottom w:val="single" w:sz="4" w:space="0" w:color="BFBFBF"/>
              <w:right w:val="nil"/>
            </w:tcBorders>
            <w:shd w:val="clear" w:color="auto" w:fill="auto"/>
            <w:vAlign w:val="center"/>
          </w:tcPr>
          <w:p w:rsidR="007E614F" w:rsidRPr="00432C61" w:rsidRDefault="007E614F" w:rsidP="007E614F">
            <w:pPr>
              <w:ind w:right="317"/>
              <w:jc w:val="right"/>
            </w:pPr>
            <w:r w:rsidRPr="00432C61">
              <w:t>(228)</w:t>
            </w:r>
          </w:p>
        </w:tc>
        <w:tc>
          <w:tcPr>
            <w:tcW w:w="1843" w:type="dxa"/>
            <w:tcBorders>
              <w:top w:val="single" w:sz="4" w:space="0" w:color="BFBFBF"/>
              <w:left w:val="nil"/>
              <w:bottom w:val="single" w:sz="4" w:space="0" w:color="BFBFBF"/>
              <w:right w:val="nil"/>
            </w:tcBorders>
            <w:shd w:val="clear" w:color="auto" w:fill="auto"/>
            <w:vAlign w:val="center"/>
          </w:tcPr>
          <w:p w:rsidR="007E614F" w:rsidRPr="00432C61" w:rsidRDefault="007E614F" w:rsidP="007E614F">
            <w:pPr>
              <w:ind w:right="317"/>
              <w:jc w:val="right"/>
            </w:pPr>
            <w:r w:rsidRPr="00432C61">
              <w:t>(207)</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432C61" w:rsidRDefault="007E614F" w:rsidP="007E614F">
            <w:pPr>
              <w:ind w:right="601"/>
              <w:jc w:val="right"/>
            </w:pPr>
            <w:r w:rsidRPr="00432C61">
              <w:t>21</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Public realm (LCC)</w:t>
            </w:r>
          </w:p>
        </w:tc>
        <w:tc>
          <w:tcPr>
            <w:tcW w:w="1854" w:type="dxa"/>
            <w:tcBorders>
              <w:top w:val="single" w:sz="4" w:space="0" w:color="BFBFBF"/>
              <w:left w:val="nil"/>
              <w:bottom w:val="single" w:sz="4" w:space="0" w:color="BFBFBF"/>
              <w:right w:val="nil"/>
            </w:tcBorders>
            <w:vAlign w:val="center"/>
          </w:tcPr>
          <w:p w:rsidR="007E614F" w:rsidRPr="00F4246C" w:rsidRDefault="007E614F" w:rsidP="007E614F">
            <w:pPr>
              <w:ind w:right="317"/>
              <w:jc w:val="right"/>
            </w:pPr>
            <w:r w:rsidRPr="00F4246C">
              <w:t>(123)</w:t>
            </w:r>
          </w:p>
        </w:tc>
        <w:tc>
          <w:tcPr>
            <w:tcW w:w="1548" w:type="dxa"/>
            <w:tcBorders>
              <w:top w:val="single" w:sz="4" w:space="0" w:color="BFBFBF"/>
              <w:left w:val="nil"/>
              <w:bottom w:val="single" w:sz="4" w:space="0" w:color="BFBFBF"/>
              <w:right w:val="nil"/>
            </w:tcBorders>
            <w:shd w:val="clear" w:color="auto" w:fill="auto"/>
            <w:vAlign w:val="center"/>
          </w:tcPr>
          <w:p w:rsidR="007E614F" w:rsidRPr="00F4246C" w:rsidRDefault="007E614F" w:rsidP="007E614F">
            <w:pPr>
              <w:ind w:right="317"/>
              <w:jc w:val="right"/>
            </w:pPr>
            <w:r w:rsidRPr="00F4246C">
              <w:t>(161)</w:t>
            </w:r>
          </w:p>
        </w:tc>
        <w:tc>
          <w:tcPr>
            <w:tcW w:w="1843" w:type="dxa"/>
            <w:tcBorders>
              <w:top w:val="single" w:sz="4" w:space="0" w:color="BFBFBF"/>
              <w:left w:val="nil"/>
              <w:bottom w:val="single" w:sz="4" w:space="0" w:color="BFBFBF"/>
              <w:right w:val="nil"/>
            </w:tcBorders>
            <w:shd w:val="clear" w:color="auto" w:fill="auto"/>
            <w:vAlign w:val="center"/>
          </w:tcPr>
          <w:p w:rsidR="007E614F" w:rsidRPr="00F4246C" w:rsidRDefault="007E614F" w:rsidP="007E614F">
            <w:pPr>
              <w:ind w:right="317"/>
              <w:jc w:val="right"/>
            </w:pPr>
            <w:r w:rsidRPr="00F4246C">
              <w:t>(161)</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6D6606" w:rsidRDefault="007E614F" w:rsidP="007E614F">
            <w:pPr>
              <w:ind w:right="601"/>
              <w:jc w:val="right"/>
              <w:rPr>
                <w:color w:val="FF0000"/>
              </w:rPr>
            </w:pPr>
            <w:r w:rsidRPr="00865F38">
              <w:t>-</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Trade Waste Charges</w:t>
            </w:r>
          </w:p>
        </w:tc>
        <w:tc>
          <w:tcPr>
            <w:tcW w:w="1854" w:type="dxa"/>
            <w:tcBorders>
              <w:top w:val="single" w:sz="4" w:space="0" w:color="BFBFBF"/>
              <w:left w:val="nil"/>
              <w:bottom w:val="single" w:sz="4" w:space="0" w:color="BFBFBF"/>
              <w:right w:val="nil"/>
            </w:tcBorders>
            <w:vAlign w:val="center"/>
          </w:tcPr>
          <w:p w:rsidR="007E614F" w:rsidRPr="006029FB" w:rsidRDefault="007E614F" w:rsidP="007E614F">
            <w:pPr>
              <w:ind w:right="317"/>
              <w:jc w:val="right"/>
            </w:pPr>
            <w:r w:rsidRPr="006029FB">
              <w:t>(463)</w:t>
            </w:r>
          </w:p>
        </w:tc>
        <w:tc>
          <w:tcPr>
            <w:tcW w:w="1548" w:type="dxa"/>
            <w:tcBorders>
              <w:top w:val="single" w:sz="4" w:space="0" w:color="BFBFBF"/>
              <w:left w:val="nil"/>
              <w:bottom w:val="single" w:sz="4" w:space="0" w:color="BFBFBF"/>
              <w:right w:val="nil"/>
            </w:tcBorders>
            <w:shd w:val="clear" w:color="auto" w:fill="auto"/>
            <w:vAlign w:val="center"/>
          </w:tcPr>
          <w:p w:rsidR="007E614F" w:rsidRPr="006029FB" w:rsidRDefault="007E614F" w:rsidP="007E614F">
            <w:pPr>
              <w:ind w:right="317"/>
              <w:jc w:val="right"/>
            </w:pPr>
            <w:r w:rsidRPr="006029FB">
              <w:t>(450)</w:t>
            </w:r>
          </w:p>
        </w:tc>
        <w:tc>
          <w:tcPr>
            <w:tcW w:w="1843" w:type="dxa"/>
            <w:tcBorders>
              <w:top w:val="single" w:sz="4" w:space="0" w:color="BFBFBF"/>
              <w:left w:val="nil"/>
              <w:bottom w:val="single" w:sz="4" w:space="0" w:color="BFBFBF"/>
              <w:right w:val="nil"/>
            </w:tcBorders>
            <w:shd w:val="clear" w:color="auto" w:fill="auto"/>
            <w:vAlign w:val="center"/>
          </w:tcPr>
          <w:p w:rsidR="007E614F" w:rsidRPr="006029FB" w:rsidRDefault="007E614F" w:rsidP="007E614F">
            <w:pPr>
              <w:ind w:right="317"/>
              <w:jc w:val="right"/>
            </w:pPr>
            <w:r w:rsidRPr="006029FB">
              <w:t>(453)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6029FB" w:rsidRDefault="007E614F" w:rsidP="007E614F">
            <w:pPr>
              <w:ind w:right="601"/>
              <w:jc w:val="right"/>
            </w:pPr>
            <w:r w:rsidRPr="006029FB">
              <w:t>(3)</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Waste - Cost sharing</w:t>
            </w:r>
          </w:p>
        </w:tc>
        <w:tc>
          <w:tcPr>
            <w:tcW w:w="1854" w:type="dxa"/>
            <w:tcBorders>
              <w:top w:val="single" w:sz="4" w:space="0" w:color="BFBFBF"/>
              <w:left w:val="nil"/>
              <w:bottom w:val="single" w:sz="4" w:space="0" w:color="BFBFBF"/>
              <w:right w:val="nil"/>
            </w:tcBorders>
            <w:vAlign w:val="center"/>
          </w:tcPr>
          <w:p w:rsidR="007E614F" w:rsidRPr="00865F38" w:rsidRDefault="007E614F" w:rsidP="007E614F">
            <w:pPr>
              <w:ind w:right="317"/>
              <w:jc w:val="right"/>
            </w:pPr>
            <w:r w:rsidRPr="00865F38">
              <w:t>(909)</w:t>
            </w:r>
          </w:p>
        </w:tc>
        <w:tc>
          <w:tcPr>
            <w:tcW w:w="1548" w:type="dxa"/>
            <w:tcBorders>
              <w:top w:val="single" w:sz="4" w:space="0" w:color="BFBFBF"/>
              <w:left w:val="nil"/>
              <w:bottom w:val="single" w:sz="4" w:space="0" w:color="BFBFBF"/>
              <w:right w:val="nil"/>
            </w:tcBorders>
            <w:shd w:val="clear" w:color="auto" w:fill="auto"/>
            <w:vAlign w:val="center"/>
          </w:tcPr>
          <w:p w:rsidR="007E614F" w:rsidRPr="00865F38" w:rsidRDefault="007E614F" w:rsidP="007E614F">
            <w:pPr>
              <w:ind w:right="317"/>
              <w:jc w:val="right"/>
            </w:pPr>
            <w:r w:rsidRPr="00865F38">
              <w:t>0</w:t>
            </w:r>
          </w:p>
        </w:tc>
        <w:tc>
          <w:tcPr>
            <w:tcW w:w="1843" w:type="dxa"/>
            <w:tcBorders>
              <w:top w:val="single" w:sz="4" w:space="0" w:color="BFBFBF"/>
              <w:left w:val="nil"/>
              <w:bottom w:val="single" w:sz="4" w:space="0" w:color="BFBFBF"/>
              <w:right w:val="nil"/>
            </w:tcBorders>
            <w:shd w:val="clear" w:color="auto" w:fill="auto"/>
            <w:vAlign w:val="center"/>
          </w:tcPr>
          <w:p w:rsidR="007E614F" w:rsidRPr="00865F38" w:rsidRDefault="007E614F" w:rsidP="007E614F">
            <w:pPr>
              <w:ind w:right="317"/>
              <w:jc w:val="right"/>
            </w:pPr>
            <w:r w:rsidRPr="00865F38">
              <w:t>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865F38" w:rsidRDefault="007E614F" w:rsidP="007E614F">
            <w:pPr>
              <w:ind w:right="601"/>
              <w:jc w:val="right"/>
            </w:pPr>
            <w:r w:rsidRPr="00865F38">
              <w:t>-</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Pr>
                <w:rFonts w:cs="Arial"/>
                <w:szCs w:val="22"/>
              </w:rPr>
              <w:t>Waste – Garden Waste</w:t>
            </w:r>
          </w:p>
        </w:tc>
        <w:tc>
          <w:tcPr>
            <w:tcW w:w="1854" w:type="dxa"/>
            <w:tcBorders>
              <w:top w:val="single" w:sz="4" w:space="0" w:color="BFBFBF"/>
              <w:left w:val="nil"/>
              <w:bottom w:val="single" w:sz="4" w:space="0" w:color="BFBFBF"/>
              <w:right w:val="nil"/>
            </w:tcBorders>
            <w:vAlign w:val="center"/>
          </w:tcPr>
          <w:p w:rsidR="007E614F" w:rsidRPr="00174A4B" w:rsidRDefault="007E614F" w:rsidP="007E614F">
            <w:pPr>
              <w:ind w:right="317"/>
              <w:jc w:val="right"/>
            </w:pPr>
            <w:r>
              <w:t>0</w:t>
            </w:r>
          </w:p>
        </w:tc>
        <w:tc>
          <w:tcPr>
            <w:tcW w:w="1548"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t>(791)</w:t>
            </w:r>
          </w:p>
        </w:tc>
        <w:tc>
          <w:tcPr>
            <w:tcW w:w="1843"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t>(789)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174A4B" w:rsidRDefault="007E614F" w:rsidP="007E614F">
            <w:pPr>
              <w:ind w:right="601"/>
              <w:jc w:val="right"/>
            </w:pPr>
            <w:r>
              <w:t>2</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Waste – new bin charges</w:t>
            </w:r>
          </w:p>
        </w:tc>
        <w:tc>
          <w:tcPr>
            <w:tcW w:w="1854" w:type="dxa"/>
            <w:tcBorders>
              <w:top w:val="single" w:sz="4" w:space="0" w:color="BFBFBF"/>
              <w:left w:val="nil"/>
              <w:bottom w:val="single" w:sz="4" w:space="0" w:color="BFBFBF"/>
              <w:right w:val="nil"/>
            </w:tcBorders>
            <w:vAlign w:val="center"/>
          </w:tcPr>
          <w:p w:rsidR="007E614F" w:rsidRPr="00174A4B" w:rsidRDefault="007E614F" w:rsidP="007E614F">
            <w:pPr>
              <w:ind w:right="317"/>
              <w:jc w:val="right"/>
            </w:pPr>
            <w:r w:rsidRPr="00174A4B">
              <w:t>(29)</w:t>
            </w:r>
          </w:p>
        </w:tc>
        <w:tc>
          <w:tcPr>
            <w:tcW w:w="1548"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rsidRPr="00174A4B">
              <w:t>(75)</w:t>
            </w:r>
          </w:p>
        </w:tc>
        <w:tc>
          <w:tcPr>
            <w:tcW w:w="1843"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rsidRPr="00174A4B">
              <w:t>(46)</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174A4B" w:rsidRDefault="007E614F" w:rsidP="007E614F">
            <w:pPr>
              <w:ind w:right="601"/>
              <w:jc w:val="right"/>
            </w:pPr>
            <w:r w:rsidRPr="00174A4B">
              <w:t>29</w:t>
            </w:r>
          </w:p>
        </w:tc>
      </w:tr>
      <w:tr w:rsidR="007E614F" w:rsidRPr="00624F18" w:rsidTr="00924A83">
        <w:trPr>
          <w:trHeight w:val="340"/>
        </w:trPr>
        <w:tc>
          <w:tcPr>
            <w:tcW w:w="3499" w:type="dxa"/>
            <w:tcBorders>
              <w:top w:val="single" w:sz="4" w:space="0" w:color="BFBFBF"/>
              <w:left w:val="single" w:sz="4" w:space="0" w:color="auto"/>
              <w:bottom w:val="single" w:sz="4" w:space="0" w:color="auto"/>
              <w:right w:val="nil"/>
            </w:tcBorders>
            <w:shd w:val="clear" w:color="auto" w:fill="auto"/>
            <w:vAlign w:val="center"/>
          </w:tcPr>
          <w:p w:rsidR="007E614F" w:rsidRPr="00F90C4E" w:rsidRDefault="007E614F" w:rsidP="007E614F">
            <w:r w:rsidRPr="00F90C4E">
              <w:rPr>
                <w:rFonts w:cs="Arial"/>
                <w:szCs w:val="22"/>
              </w:rPr>
              <w:t>Waste - special collections</w:t>
            </w:r>
          </w:p>
        </w:tc>
        <w:tc>
          <w:tcPr>
            <w:tcW w:w="1854" w:type="dxa"/>
            <w:tcBorders>
              <w:top w:val="single" w:sz="4" w:space="0" w:color="BFBFBF"/>
              <w:left w:val="nil"/>
              <w:bottom w:val="single" w:sz="4" w:space="0" w:color="auto"/>
              <w:right w:val="nil"/>
            </w:tcBorders>
            <w:vAlign w:val="center"/>
          </w:tcPr>
          <w:p w:rsidR="007E614F" w:rsidRPr="00174A4B" w:rsidRDefault="007E614F" w:rsidP="007E614F">
            <w:pPr>
              <w:ind w:right="317"/>
              <w:jc w:val="right"/>
            </w:pPr>
            <w:r w:rsidRPr="00174A4B">
              <w:t>(40)</w:t>
            </w:r>
          </w:p>
        </w:tc>
        <w:tc>
          <w:tcPr>
            <w:tcW w:w="1548" w:type="dxa"/>
            <w:tcBorders>
              <w:top w:val="single" w:sz="4" w:space="0" w:color="BFBFBF"/>
              <w:left w:val="nil"/>
              <w:bottom w:val="single" w:sz="4" w:space="0" w:color="auto"/>
              <w:right w:val="nil"/>
            </w:tcBorders>
            <w:shd w:val="clear" w:color="auto" w:fill="auto"/>
            <w:vAlign w:val="center"/>
          </w:tcPr>
          <w:p w:rsidR="007E614F" w:rsidRPr="00174A4B" w:rsidRDefault="007E614F" w:rsidP="007E614F">
            <w:pPr>
              <w:ind w:right="317"/>
              <w:jc w:val="right"/>
            </w:pPr>
            <w:r w:rsidRPr="00174A4B">
              <w:t xml:space="preserve"> (40)</w:t>
            </w:r>
          </w:p>
        </w:tc>
        <w:tc>
          <w:tcPr>
            <w:tcW w:w="1843" w:type="dxa"/>
            <w:tcBorders>
              <w:top w:val="single" w:sz="4" w:space="0" w:color="BFBFBF"/>
              <w:left w:val="nil"/>
              <w:bottom w:val="single" w:sz="4" w:space="0" w:color="auto"/>
              <w:right w:val="nil"/>
            </w:tcBorders>
            <w:shd w:val="clear" w:color="auto" w:fill="auto"/>
            <w:vAlign w:val="center"/>
          </w:tcPr>
          <w:p w:rsidR="007E614F" w:rsidRPr="00174A4B" w:rsidRDefault="007E614F" w:rsidP="007E614F">
            <w:pPr>
              <w:ind w:right="317"/>
              <w:jc w:val="right"/>
            </w:pPr>
            <w:r w:rsidRPr="00174A4B">
              <w:t>(41)</w:t>
            </w:r>
          </w:p>
        </w:tc>
        <w:tc>
          <w:tcPr>
            <w:tcW w:w="1876" w:type="dxa"/>
            <w:tcBorders>
              <w:top w:val="single" w:sz="4" w:space="0" w:color="BFBFBF"/>
              <w:left w:val="nil"/>
              <w:bottom w:val="single" w:sz="4" w:space="0" w:color="auto"/>
              <w:right w:val="single" w:sz="4" w:space="0" w:color="auto"/>
            </w:tcBorders>
            <w:shd w:val="clear" w:color="auto" w:fill="auto"/>
            <w:vAlign w:val="center"/>
          </w:tcPr>
          <w:p w:rsidR="007E614F" w:rsidRPr="00174A4B" w:rsidRDefault="007E614F" w:rsidP="007E614F">
            <w:pPr>
              <w:ind w:right="601"/>
              <w:jc w:val="right"/>
            </w:pPr>
            <w:r w:rsidRPr="00174A4B">
              <w:t>(1)</w:t>
            </w:r>
          </w:p>
        </w:tc>
      </w:tr>
      <w:tr w:rsidR="007E614F" w:rsidRPr="00624F18" w:rsidTr="00924A83">
        <w:trPr>
          <w:trHeight w:val="340"/>
        </w:trPr>
        <w:tc>
          <w:tcPr>
            <w:tcW w:w="3499" w:type="dxa"/>
            <w:tcBorders>
              <w:top w:val="single" w:sz="4" w:space="0" w:color="auto"/>
              <w:left w:val="single" w:sz="4" w:space="0" w:color="auto"/>
              <w:bottom w:val="single" w:sz="4" w:space="0" w:color="auto"/>
              <w:right w:val="nil"/>
            </w:tcBorders>
            <w:shd w:val="clear" w:color="auto" w:fill="auto"/>
            <w:vAlign w:val="center"/>
          </w:tcPr>
          <w:p w:rsidR="007E614F" w:rsidRDefault="007E614F" w:rsidP="007E614F">
            <w:pPr>
              <w:rPr>
                <w:rFonts w:cs="Arial"/>
                <w:b/>
                <w:szCs w:val="22"/>
              </w:rPr>
            </w:pPr>
          </w:p>
          <w:p w:rsidR="007E614F" w:rsidRDefault="007E614F" w:rsidP="007E614F">
            <w:pPr>
              <w:rPr>
                <w:rFonts w:cs="Arial"/>
                <w:b/>
                <w:szCs w:val="22"/>
              </w:rPr>
            </w:pPr>
            <w:r w:rsidRPr="00F6259F">
              <w:rPr>
                <w:rFonts w:cs="Arial"/>
                <w:b/>
                <w:szCs w:val="22"/>
              </w:rPr>
              <w:t>TOTAL</w:t>
            </w:r>
            <w:r>
              <w:rPr>
                <w:rFonts w:cs="Arial"/>
                <w:b/>
                <w:szCs w:val="22"/>
              </w:rPr>
              <w:t xml:space="preserve"> </w:t>
            </w:r>
          </w:p>
          <w:p w:rsidR="007E614F" w:rsidRPr="00F6259F" w:rsidRDefault="007E614F" w:rsidP="007E614F">
            <w:pPr>
              <w:rPr>
                <w:rFonts w:cs="Arial"/>
                <w:b/>
                <w:szCs w:val="22"/>
              </w:rPr>
            </w:pPr>
          </w:p>
        </w:tc>
        <w:tc>
          <w:tcPr>
            <w:tcW w:w="1854" w:type="dxa"/>
            <w:tcBorders>
              <w:top w:val="single" w:sz="4" w:space="0" w:color="auto"/>
              <w:left w:val="nil"/>
              <w:bottom w:val="single" w:sz="4" w:space="0" w:color="auto"/>
              <w:right w:val="nil"/>
            </w:tcBorders>
            <w:vAlign w:val="center"/>
          </w:tcPr>
          <w:p w:rsidR="007E614F" w:rsidRPr="00F6259F" w:rsidRDefault="007E614F" w:rsidP="007E614F">
            <w:pPr>
              <w:ind w:right="317"/>
              <w:jc w:val="right"/>
            </w:pPr>
            <w:r w:rsidRPr="00F6259F">
              <w:t>(4,7</w:t>
            </w:r>
            <w:r>
              <w:t>31</w:t>
            </w:r>
            <w:r w:rsidRPr="00F6259F">
              <w:t>)</w:t>
            </w:r>
          </w:p>
        </w:tc>
        <w:tc>
          <w:tcPr>
            <w:tcW w:w="1548" w:type="dxa"/>
            <w:tcBorders>
              <w:top w:val="single" w:sz="4" w:space="0" w:color="auto"/>
              <w:left w:val="nil"/>
              <w:bottom w:val="single" w:sz="4" w:space="0" w:color="auto"/>
              <w:right w:val="nil"/>
            </w:tcBorders>
            <w:shd w:val="clear" w:color="auto" w:fill="auto"/>
            <w:vAlign w:val="center"/>
          </w:tcPr>
          <w:p w:rsidR="007E614F" w:rsidRPr="006D6606" w:rsidRDefault="007E614F" w:rsidP="007E614F">
            <w:pPr>
              <w:ind w:right="317"/>
              <w:jc w:val="right"/>
              <w:rPr>
                <w:color w:val="FF0000"/>
              </w:rPr>
            </w:pPr>
            <w:r w:rsidRPr="00F6259F">
              <w:t>(4,</w:t>
            </w:r>
            <w:r>
              <w:t>636</w:t>
            </w:r>
            <w:r w:rsidRPr="00F6259F">
              <w:t>)</w:t>
            </w:r>
          </w:p>
        </w:tc>
        <w:tc>
          <w:tcPr>
            <w:tcW w:w="1843" w:type="dxa"/>
            <w:tcBorders>
              <w:top w:val="single" w:sz="4" w:space="0" w:color="auto"/>
              <w:left w:val="nil"/>
              <w:bottom w:val="single" w:sz="4" w:space="0" w:color="auto"/>
              <w:right w:val="nil"/>
            </w:tcBorders>
            <w:shd w:val="clear" w:color="auto" w:fill="auto"/>
            <w:vAlign w:val="center"/>
          </w:tcPr>
          <w:p w:rsidR="007E614F" w:rsidRPr="006D6606" w:rsidRDefault="007E614F" w:rsidP="007E614F">
            <w:pPr>
              <w:ind w:right="317"/>
              <w:jc w:val="right"/>
              <w:rPr>
                <w:color w:val="FF0000"/>
              </w:rPr>
            </w:pPr>
            <w:r w:rsidRPr="00F6259F">
              <w:t>(4,6</w:t>
            </w:r>
            <w:r>
              <w:t>96</w:t>
            </w:r>
            <w:r w:rsidRPr="00F6259F">
              <w:t>)</w:t>
            </w:r>
          </w:p>
        </w:tc>
        <w:tc>
          <w:tcPr>
            <w:tcW w:w="1876" w:type="dxa"/>
            <w:tcBorders>
              <w:top w:val="single" w:sz="4" w:space="0" w:color="auto"/>
              <w:left w:val="nil"/>
              <w:bottom w:val="single" w:sz="4" w:space="0" w:color="auto"/>
              <w:right w:val="single" w:sz="4" w:space="0" w:color="auto"/>
            </w:tcBorders>
            <w:shd w:val="clear" w:color="auto" w:fill="auto"/>
            <w:vAlign w:val="center"/>
          </w:tcPr>
          <w:p w:rsidR="007E614F" w:rsidRPr="004C053F" w:rsidRDefault="007E614F" w:rsidP="007E614F">
            <w:pPr>
              <w:ind w:right="601"/>
              <w:jc w:val="right"/>
              <w:rPr>
                <w:color w:val="FF0000"/>
              </w:rPr>
            </w:pPr>
            <w:r w:rsidRPr="00836011">
              <w:t>(60)</w:t>
            </w:r>
          </w:p>
        </w:tc>
      </w:tr>
    </w:tbl>
    <w:p w:rsidR="00905FF0" w:rsidRDefault="00905FF0" w:rsidP="00905FF0">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122EC9" w:rsidRPr="00122EC9" w:rsidRDefault="00DD000C" w:rsidP="00122EC9">
      <w:pPr>
        <w:tabs>
          <w:tab w:val="left" w:pos="2280"/>
          <w:tab w:val="center" w:pos="4153"/>
          <w:tab w:val="right" w:pos="8306"/>
        </w:tabs>
        <w:jc w:val="right"/>
        <w:rPr>
          <w:b/>
          <w:lang w:val="x-none" w:eastAsia="x-none"/>
        </w:rPr>
      </w:pPr>
      <w:r>
        <w:rPr>
          <w:b/>
          <w:lang w:eastAsia="x-none"/>
        </w:rPr>
        <w:t>A</w:t>
      </w:r>
      <w:r w:rsidR="00122EC9" w:rsidRPr="00122EC9">
        <w:rPr>
          <w:b/>
          <w:lang w:eastAsia="x-none"/>
        </w:rPr>
        <w:t xml:space="preserve">ppendix </w:t>
      </w:r>
      <w:r w:rsidR="00C50CD1">
        <w:rPr>
          <w:b/>
          <w:lang w:eastAsia="x-none"/>
        </w:rPr>
        <w:t>B</w:t>
      </w:r>
    </w:p>
    <w:p w:rsidR="00122EC9" w:rsidRPr="00122EC9" w:rsidRDefault="00122EC9" w:rsidP="00122EC9">
      <w:pPr>
        <w:jc w:val="center"/>
        <w:rPr>
          <w:rFonts w:cs="Arial"/>
          <w:b/>
        </w:rPr>
      </w:pPr>
    </w:p>
    <w:p w:rsidR="00122EC9" w:rsidRPr="00122EC9" w:rsidRDefault="00122EC9" w:rsidP="00122EC9">
      <w:pPr>
        <w:jc w:val="center"/>
        <w:rPr>
          <w:rFonts w:cs="Arial"/>
          <w:b/>
        </w:rPr>
      </w:pPr>
      <w:r w:rsidRPr="00122EC9">
        <w:rPr>
          <w:rFonts w:cs="Arial"/>
          <w:b/>
        </w:rPr>
        <w:t>Council Tax, Business Rates and Sundry Debtor Collection</w:t>
      </w:r>
    </w:p>
    <w:p w:rsidR="00122EC9" w:rsidRPr="00122EC9" w:rsidRDefault="00122EC9" w:rsidP="00122EC9">
      <w:pPr>
        <w:jc w:val="both"/>
        <w:rPr>
          <w:rFonts w:cs="Arial"/>
          <w:b/>
        </w:rPr>
      </w:pPr>
    </w:p>
    <w:p w:rsidR="00122EC9" w:rsidRPr="00122EC9" w:rsidRDefault="00122EC9" w:rsidP="00122EC9">
      <w:pPr>
        <w:jc w:val="both"/>
        <w:rPr>
          <w:rFonts w:cs="Arial"/>
          <w:b/>
        </w:rPr>
      </w:pPr>
      <w:r w:rsidRPr="00122EC9">
        <w:rPr>
          <w:rFonts w:cs="Arial"/>
          <w:b/>
        </w:rPr>
        <w:t>In-Year Collection</w:t>
      </w:r>
    </w:p>
    <w:p w:rsidR="00122EC9" w:rsidRPr="00122EC9" w:rsidRDefault="00122EC9" w:rsidP="00122EC9">
      <w:pPr>
        <w:jc w:val="both"/>
        <w:rPr>
          <w:rFonts w:cs="Arial"/>
        </w:rPr>
      </w:pPr>
    </w:p>
    <w:p w:rsidR="00122EC9" w:rsidRPr="00122EC9" w:rsidRDefault="00C50CD1" w:rsidP="00122EC9">
      <w:pPr>
        <w:jc w:val="both"/>
        <w:rPr>
          <w:rFonts w:cs="Arial"/>
        </w:rPr>
      </w:pPr>
      <w:r w:rsidRPr="00122EC9">
        <w:rPr>
          <w:rFonts w:cs="Arial"/>
        </w:rPr>
        <w:t>The</w:t>
      </w:r>
      <w:r>
        <w:rPr>
          <w:rFonts w:cs="Arial"/>
        </w:rPr>
        <w:t xml:space="preserve"> table below sets out the </w:t>
      </w:r>
      <w:r w:rsidR="00122EC9" w:rsidRPr="00122EC9">
        <w:rPr>
          <w:rFonts w:cs="Arial"/>
        </w:rPr>
        <w:t>in-year collection statistics for Council Tax and Business Rates</w:t>
      </w:r>
      <w:r>
        <w:rPr>
          <w:rFonts w:cs="Arial"/>
        </w:rPr>
        <w:t xml:space="preserve"> compared to 201</w:t>
      </w:r>
      <w:r w:rsidR="006D6606">
        <w:rPr>
          <w:rFonts w:cs="Arial"/>
        </w:rPr>
        <w:t>7</w:t>
      </w:r>
      <w:r>
        <w:rPr>
          <w:rFonts w:cs="Arial"/>
        </w:rPr>
        <w:t>/1</w:t>
      </w:r>
      <w:r w:rsidR="006D6606">
        <w:rPr>
          <w:rFonts w:cs="Arial"/>
        </w:rPr>
        <w:t>8</w:t>
      </w:r>
      <w:r>
        <w:rPr>
          <w:rFonts w:cs="Arial"/>
        </w:rPr>
        <w:t>.</w:t>
      </w:r>
    </w:p>
    <w:p w:rsidR="00122EC9" w:rsidRPr="00122EC9" w:rsidRDefault="00122EC9" w:rsidP="00122EC9">
      <w:pPr>
        <w:jc w:val="both"/>
        <w:rPr>
          <w:rFonts w:cs="Arial"/>
          <w:color w:val="FF0000"/>
        </w:rPr>
      </w:pPr>
    </w:p>
    <w:tbl>
      <w:tblPr>
        <w:tblW w:w="10065"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1701"/>
        <w:gridCol w:w="1701"/>
        <w:gridCol w:w="1701"/>
        <w:gridCol w:w="1843"/>
      </w:tblGrid>
      <w:tr w:rsidR="00CB5073" w:rsidRPr="00CB5073" w:rsidTr="002E1752">
        <w:tc>
          <w:tcPr>
            <w:tcW w:w="3119" w:type="dxa"/>
            <w:shd w:val="clear" w:color="auto" w:fill="D9D9D9" w:themeFill="background1" w:themeFillShade="D9"/>
          </w:tcPr>
          <w:p w:rsidR="00122EC9" w:rsidRPr="00CB5073" w:rsidRDefault="00122EC9" w:rsidP="00122EC9">
            <w:pPr>
              <w:jc w:val="both"/>
              <w:rPr>
                <w:rFonts w:cs="Arial"/>
              </w:rPr>
            </w:pPr>
          </w:p>
        </w:tc>
        <w:tc>
          <w:tcPr>
            <w:tcW w:w="1701" w:type="dxa"/>
            <w:shd w:val="clear" w:color="auto" w:fill="D9D9D9" w:themeFill="background1" w:themeFillShade="D9"/>
          </w:tcPr>
          <w:p w:rsidR="00122EC9" w:rsidRPr="00CB5073" w:rsidRDefault="006D6606" w:rsidP="00122EC9">
            <w:pPr>
              <w:jc w:val="center"/>
              <w:rPr>
                <w:rFonts w:cs="Arial"/>
                <w:b/>
              </w:rPr>
            </w:pPr>
            <w:r w:rsidRPr="00CB5073">
              <w:rPr>
                <w:rFonts w:cs="Arial"/>
                <w:b/>
              </w:rPr>
              <w:t xml:space="preserve">2017/18 </w:t>
            </w:r>
            <w:r w:rsidR="00122EC9" w:rsidRPr="00CB5073">
              <w:rPr>
                <w:rFonts w:cs="Arial"/>
                <w:b/>
              </w:rPr>
              <w:t xml:space="preserve"> Collection Rate </w:t>
            </w:r>
          </w:p>
          <w:p w:rsidR="00122EC9" w:rsidRPr="00CB5073" w:rsidRDefault="00122EC9" w:rsidP="00122EC9">
            <w:pPr>
              <w:jc w:val="center"/>
              <w:rPr>
                <w:rFonts w:cs="Arial"/>
                <w:b/>
              </w:rPr>
            </w:pPr>
            <w:r w:rsidRPr="00CB5073">
              <w:rPr>
                <w:rFonts w:cs="Arial"/>
                <w:b/>
              </w:rPr>
              <w:t>%</w:t>
            </w:r>
          </w:p>
        </w:tc>
        <w:tc>
          <w:tcPr>
            <w:tcW w:w="1701" w:type="dxa"/>
            <w:shd w:val="clear" w:color="auto" w:fill="D9D9D9" w:themeFill="background1" w:themeFillShade="D9"/>
          </w:tcPr>
          <w:p w:rsidR="00122EC9" w:rsidRPr="00CB5073" w:rsidRDefault="006D6606" w:rsidP="006D6606">
            <w:pPr>
              <w:jc w:val="center"/>
              <w:rPr>
                <w:rFonts w:cs="Arial"/>
                <w:b/>
              </w:rPr>
            </w:pPr>
            <w:r w:rsidRPr="00CB5073">
              <w:rPr>
                <w:rFonts w:cs="Arial"/>
                <w:b/>
              </w:rPr>
              <w:t xml:space="preserve">2017/18 </w:t>
            </w:r>
            <w:r w:rsidR="00122EC9" w:rsidRPr="00CB5073">
              <w:rPr>
                <w:rFonts w:cs="Arial"/>
                <w:b/>
              </w:rPr>
              <w:t xml:space="preserve"> Amount Collected (£000)</w:t>
            </w: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201</w:t>
            </w:r>
            <w:r w:rsidR="006D6606">
              <w:rPr>
                <w:rFonts w:cs="Arial"/>
                <w:b/>
              </w:rPr>
              <w:t>8</w:t>
            </w:r>
            <w:r w:rsidRPr="00CB5073">
              <w:rPr>
                <w:rFonts w:cs="Arial"/>
                <w:b/>
              </w:rPr>
              <w:t>/1</w:t>
            </w:r>
            <w:r w:rsidR="006D6606">
              <w:rPr>
                <w:rFonts w:cs="Arial"/>
                <w:b/>
              </w:rPr>
              <w:t>9</w:t>
            </w:r>
            <w:r w:rsidRPr="00CB5073">
              <w:rPr>
                <w:rFonts w:cs="Arial"/>
                <w:b/>
              </w:rPr>
              <w:t xml:space="preserve"> Collection Rate </w:t>
            </w:r>
          </w:p>
          <w:p w:rsidR="00122EC9" w:rsidRPr="00CB5073" w:rsidRDefault="00122EC9" w:rsidP="00122EC9">
            <w:pPr>
              <w:jc w:val="center"/>
              <w:rPr>
                <w:rFonts w:cs="Arial"/>
                <w:b/>
              </w:rPr>
            </w:pPr>
            <w:r w:rsidRPr="00CB5073">
              <w:rPr>
                <w:rFonts w:cs="Arial"/>
                <w:b/>
              </w:rPr>
              <w:t>%</w:t>
            </w:r>
          </w:p>
        </w:tc>
        <w:tc>
          <w:tcPr>
            <w:tcW w:w="1843" w:type="dxa"/>
            <w:shd w:val="clear" w:color="auto" w:fill="D9D9D9" w:themeFill="background1" w:themeFillShade="D9"/>
          </w:tcPr>
          <w:p w:rsidR="00122EC9" w:rsidRPr="00CB5073" w:rsidRDefault="00122EC9" w:rsidP="006D6606">
            <w:pPr>
              <w:jc w:val="center"/>
              <w:rPr>
                <w:rFonts w:cs="Arial"/>
                <w:b/>
              </w:rPr>
            </w:pPr>
            <w:r w:rsidRPr="00CB5073">
              <w:rPr>
                <w:rFonts w:cs="Arial"/>
                <w:b/>
              </w:rPr>
              <w:t>201</w:t>
            </w:r>
            <w:r w:rsidR="006D6606">
              <w:rPr>
                <w:rFonts w:cs="Arial"/>
                <w:b/>
              </w:rPr>
              <w:t>8</w:t>
            </w:r>
            <w:r w:rsidRPr="00CB5073">
              <w:rPr>
                <w:rFonts w:cs="Arial"/>
                <w:b/>
              </w:rPr>
              <w:t>/1</w:t>
            </w:r>
            <w:r w:rsidR="006D6606">
              <w:rPr>
                <w:rFonts w:cs="Arial"/>
                <w:b/>
              </w:rPr>
              <w:t>9</w:t>
            </w:r>
            <w:r w:rsidRPr="00CB5073">
              <w:rPr>
                <w:rFonts w:cs="Arial"/>
                <w:b/>
              </w:rPr>
              <w:t xml:space="preserve"> Amount Collected (£000)</w:t>
            </w:r>
          </w:p>
        </w:tc>
      </w:tr>
      <w:tr w:rsidR="006D6606" w:rsidRPr="00122EC9" w:rsidTr="002E1752">
        <w:trPr>
          <w:trHeight w:val="369"/>
        </w:trPr>
        <w:tc>
          <w:tcPr>
            <w:tcW w:w="3119" w:type="dxa"/>
            <w:shd w:val="clear" w:color="auto" w:fill="auto"/>
            <w:vAlign w:val="center"/>
          </w:tcPr>
          <w:p w:rsidR="006D6606" w:rsidRPr="00122EC9" w:rsidRDefault="006D6606" w:rsidP="006D6606">
            <w:pPr>
              <w:jc w:val="both"/>
              <w:rPr>
                <w:rFonts w:cs="Arial"/>
              </w:rPr>
            </w:pPr>
            <w:r w:rsidRPr="00122EC9">
              <w:rPr>
                <w:rFonts w:cs="Arial"/>
              </w:rPr>
              <w:t>Council Tax</w:t>
            </w:r>
          </w:p>
        </w:tc>
        <w:tc>
          <w:tcPr>
            <w:tcW w:w="1701" w:type="dxa"/>
            <w:shd w:val="clear" w:color="auto" w:fill="auto"/>
            <w:vAlign w:val="center"/>
          </w:tcPr>
          <w:p w:rsidR="006D6606" w:rsidRPr="00122EC9" w:rsidRDefault="006D6606" w:rsidP="006D6606">
            <w:pPr>
              <w:jc w:val="center"/>
              <w:rPr>
                <w:rFonts w:cs="Arial"/>
              </w:rPr>
            </w:pPr>
            <w:r w:rsidRPr="00122EC9">
              <w:rPr>
                <w:rFonts w:cs="Arial"/>
              </w:rPr>
              <w:t>97.50</w:t>
            </w:r>
          </w:p>
        </w:tc>
        <w:tc>
          <w:tcPr>
            <w:tcW w:w="1701" w:type="dxa"/>
            <w:shd w:val="clear" w:color="auto" w:fill="auto"/>
            <w:vAlign w:val="center"/>
          </w:tcPr>
          <w:p w:rsidR="006D6606" w:rsidRPr="00122EC9" w:rsidRDefault="006D6606" w:rsidP="006D6606">
            <w:pPr>
              <w:jc w:val="center"/>
              <w:rPr>
                <w:rFonts w:cs="Arial"/>
              </w:rPr>
            </w:pPr>
            <w:r w:rsidRPr="00122EC9">
              <w:rPr>
                <w:rFonts w:cs="Arial"/>
              </w:rPr>
              <w:t>58,725</w:t>
            </w:r>
          </w:p>
        </w:tc>
        <w:tc>
          <w:tcPr>
            <w:tcW w:w="1701" w:type="dxa"/>
            <w:shd w:val="clear" w:color="auto" w:fill="auto"/>
            <w:vAlign w:val="center"/>
          </w:tcPr>
          <w:p w:rsidR="006D6606" w:rsidRPr="00122EC9" w:rsidRDefault="00125F43" w:rsidP="006D6606">
            <w:pPr>
              <w:jc w:val="center"/>
              <w:rPr>
                <w:rFonts w:cs="Arial"/>
              </w:rPr>
            </w:pPr>
            <w:r>
              <w:rPr>
                <w:rFonts w:cs="Arial"/>
              </w:rPr>
              <w:t>97.42</w:t>
            </w:r>
          </w:p>
        </w:tc>
        <w:tc>
          <w:tcPr>
            <w:tcW w:w="1843" w:type="dxa"/>
            <w:shd w:val="clear" w:color="auto" w:fill="auto"/>
            <w:vAlign w:val="center"/>
          </w:tcPr>
          <w:p w:rsidR="006D6606" w:rsidRPr="00122EC9" w:rsidRDefault="00125F43" w:rsidP="006D6606">
            <w:pPr>
              <w:jc w:val="center"/>
              <w:rPr>
                <w:rFonts w:cs="Arial"/>
              </w:rPr>
            </w:pPr>
            <w:r>
              <w:rPr>
                <w:rFonts w:cs="Arial"/>
              </w:rPr>
              <w:t>61,780</w:t>
            </w:r>
          </w:p>
        </w:tc>
      </w:tr>
      <w:tr w:rsidR="006D6606" w:rsidRPr="00122EC9" w:rsidTr="002E1752">
        <w:trPr>
          <w:trHeight w:val="416"/>
        </w:trPr>
        <w:tc>
          <w:tcPr>
            <w:tcW w:w="3119" w:type="dxa"/>
            <w:shd w:val="clear" w:color="auto" w:fill="auto"/>
            <w:vAlign w:val="center"/>
          </w:tcPr>
          <w:p w:rsidR="006D6606" w:rsidRPr="00122EC9" w:rsidRDefault="006D6606" w:rsidP="006D6606">
            <w:pPr>
              <w:jc w:val="both"/>
              <w:rPr>
                <w:rFonts w:cs="Arial"/>
              </w:rPr>
            </w:pPr>
            <w:r w:rsidRPr="00122EC9">
              <w:rPr>
                <w:rFonts w:cs="Arial"/>
              </w:rPr>
              <w:t>Business Rates</w:t>
            </w:r>
          </w:p>
        </w:tc>
        <w:tc>
          <w:tcPr>
            <w:tcW w:w="1701" w:type="dxa"/>
            <w:shd w:val="clear" w:color="auto" w:fill="auto"/>
            <w:vAlign w:val="center"/>
          </w:tcPr>
          <w:p w:rsidR="006D6606" w:rsidRPr="00122EC9" w:rsidRDefault="006D6606" w:rsidP="006D6606">
            <w:pPr>
              <w:jc w:val="center"/>
              <w:rPr>
                <w:rFonts w:cs="Arial"/>
              </w:rPr>
            </w:pPr>
            <w:r w:rsidRPr="00122EC9">
              <w:rPr>
                <w:rFonts w:cs="Arial"/>
              </w:rPr>
              <w:t>98.22</w:t>
            </w:r>
          </w:p>
        </w:tc>
        <w:tc>
          <w:tcPr>
            <w:tcW w:w="1701" w:type="dxa"/>
            <w:shd w:val="clear" w:color="auto" w:fill="auto"/>
            <w:vAlign w:val="center"/>
          </w:tcPr>
          <w:p w:rsidR="006D6606" w:rsidRPr="00122EC9" w:rsidRDefault="006D6606" w:rsidP="006D6606">
            <w:pPr>
              <w:jc w:val="center"/>
              <w:rPr>
                <w:rFonts w:cs="Arial"/>
              </w:rPr>
            </w:pPr>
            <w:r w:rsidRPr="00122EC9">
              <w:rPr>
                <w:rFonts w:cs="Arial"/>
              </w:rPr>
              <w:t>37,379</w:t>
            </w:r>
          </w:p>
        </w:tc>
        <w:tc>
          <w:tcPr>
            <w:tcW w:w="1701" w:type="dxa"/>
            <w:shd w:val="clear" w:color="auto" w:fill="auto"/>
            <w:vAlign w:val="center"/>
          </w:tcPr>
          <w:p w:rsidR="006D6606" w:rsidRPr="00122EC9" w:rsidRDefault="00125F43" w:rsidP="00125F43">
            <w:pPr>
              <w:jc w:val="center"/>
              <w:rPr>
                <w:rFonts w:cs="Arial"/>
              </w:rPr>
            </w:pPr>
            <w:r>
              <w:rPr>
                <w:rFonts w:cs="Arial"/>
              </w:rPr>
              <w:t>98.81</w:t>
            </w:r>
          </w:p>
        </w:tc>
        <w:tc>
          <w:tcPr>
            <w:tcW w:w="1843" w:type="dxa"/>
            <w:shd w:val="clear" w:color="auto" w:fill="auto"/>
            <w:vAlign w:val="center"/>
          </w:tcPr>
          <w:p w:rsidR="006D6606" w:rsidRPr="00122EC9" w:rsidRDefault="00125F43" w:rsidP="006D6606">
            <w:pPr>
              <w:jc w:val="center"/>
              <w:rPr>
                <w:rFonts w:cs="Arial"/>
              </w:rPr>
            </w:pPr>
            <w:r>
              <w:rPr>
                <w:rFonts w:cs="Arial"/>
              </w:rPr>
              <w:t>36,755</w:t>
            </w:r>
          </w:p>
        </w:tc>
      </w:tr>
      <w:tr w:rsidR="006D6606" w:rsidRPr="00122EC9" w:rsidTr="002E1752">
        <w:trPr>
          <w:trHeight w:val="416"/>
        </w:trPr>
        <w:tc>
          <w:tcPr>
            <w:tcW w:w="3119" w:type="dxa"/>
            <w:shd w:val="clear" w:color="auto" w:fill="auto"/>
            <w:vAlign w:val="center"/>
          </w:tcPr>
          <w:p w:rsidR="006D6606" w:rsidRPr="00122EC9" w:rsidRDefault="006D6606" w:rsidP="006D6606">
            <w:pPr>
              <w:jc w:val="both"/>
              <w:rPr>
                <w:rFonts w:cs="Arial"/>
              </w:rPr>
            </w:pPr>
            <w:r w:rsidRPr="00122EC9">
              <w:rPr>
                <w:rFonts w:cs="Arial"/>
              </w:rPr>
              <w:t>Sundry Debtors</w:t>
            </w:r>
          </w:p>
        </w:tc>
        <w:tc>
          <w:tcPr>
            <w:tcW w:w="1701" w:type="dxa"/>
            <w:shd w:val="pct15" w:color="auto" w:fill="auto"/>
            <w:vAlign w:val="center"/>
          </w:tcPr>
          <w:p w:rsidR="006D6606" w:rsidRPr="00122EC9" w:rsidRDefault="006D6606" w:rsidP="006D6606">
            <w:pPr>
              <w:jc w:val="center"/>
              <w:rPr>
                <w:rFonts w:cs="Arial"/>
              </w:rPr>
            </w:pPr>
          </w:p>
        </w:tc>
        <w:tc>
          <w:tcPr>
            <w:tcW w:w="1701" w:type="dxa"/>
            <w:shd w:val="clear" w:color="auto" w:fill="auto"/>
            <w:vAlign w:val="center"/>
          </w:tcPr>
          <w:p w:rsidR="006D6606" w:rsidRPr="00122EC9" w:rsidRDefault="006D6606" w:rsidP="006D6606">
            <w:pPr>
              <w:jc w:val="center"/>
              <w:rPr>
                <w:rFonts w:cs="Arial"/>
              </w:rPr>
            </w:pPr>
            <w:r w:rsidRPr="00122EC9">
              <w:rPr>
                <w:rFonts w:cs="Arial"/>
              </w:rPr>
              <w:t>7,701</w:t>
            </w:r>
          </w:p>
        </w:tc>
        <w:tc>
          <w:tcPr>
            <w:tcW w:w="1701" w:type="dxa"/>
            <w:shd w:val="pct15" w:color="auto" w:fill="auto"/>
            <w:vAlign w:val="center"/>
          </w:tcPr>
          <w:p w:rsidR="006D6606" w:rsidRPr="00122EC9" w:rsidRDefault="006D6606" w:rsidP="006D6606">
            <w:pPr>
              <w:jc w:val="center"/>
              <w:rPr>
                <w:rFonts w:cs="Arial"/>
              </w:rPr>
            </w:pPr>
          </w:p>
        </w:tc>
        <w:tc>
          <w:tcPr>
            <w:tcW w:w="1843" w:type="dxa"/>
            <w:shd w:val="clear" w:color="auto" w:fill="auto"/>
            <w:vAlign w:val="center"/>
          </w:tcPr>
          <w:p w:rsidR="006D6606" w:rsidRPr="00122EC9" w:rsidRDefault="00125F43" w:rsidP="006D6606">
            <w:pPr>
              <w:jc w:val="center"/>
              <w:rPr>
                <w:rFonts w:cs="Arial"/>
              </w:rPr>
            </w:pPr>
            <w:r>
              <w:rPr>
                <w:rFonts w:cs="Arial"/>
              </w:rPr>
              <w:t>6,401</w:t>
            </w:r>
          </w:p>
        </w:tc>
      </w:tr>
    </w:tbl>
    <w:p w:rsidR="00122EC9" w:rsidRPr="00122EC9" w:rsidRDefault="00122EC9" w:rsidP="00122EC9">
      <w:pPr>
        <w:jc w:val="both"/>
        <w:rPr>
          <w:rFonts w:cs="Arial"/>
          <w:color w:val="FF0000"/>
        </w:rPr>
      </w:pPr>
    </w:p>
    <w:p w:rsidR="00122EC9" w:rsidRPr="00122EC9" w:rsidRDefault="00122EC9" w:rsidP="00122EC9">
      <w:pPr>
        <w:jc w:val="both"/>
        <w:rPr>
          <w:rFonts w:cs="Arial"/>
          <w:color w:val="FF0000"/>
        </w:rPr>
      </w:pPr>
    </w:p>
    <w:p w:rsidR="00122EC9" w:rsidRPr="00122EC9" w:rsidRDefault="00122EC9" w:rsidP="00122EC9">
      <w:pPr>
        <w:jc w:val="both"/>
        <w:rPr>
          <w:rFonts w:cs="Arial"/>
          <w:b/>
        </w:rPr>
      </w:pPr>
      <w:r w:rsidRPr="00122EC9">
        <w:rPr>
          <w:rFonts w:cs="Arial"/>
          <w:b/>
        </w:rPr>
        <w:t>Previous Years Collection and Arrears Information</w:t>
      </w:r>
    </w:p>
    <w:p w:rsidR="00122EC9" w:rsidRDefault="00122EC9" w:rsidP="00122EC9">
      <w:pPr>
        <w:jc w:val="both"/>
        <w:rPr>
          <w:rFonts w:cs="Arial"/>
          <w:b/>
        </w:rPr>
      </w:pPr>
    </w:p>
    <w:p w:rsidR="00D94250" w:rsidRPr="002E1752" w:rsidRDefault="00D94250" w:rsidP="00122EC9">
      <w:pPr>
        <w:jc w:val="both"/>
        <w:rPr>
          <w:rFonts w:cs="Arial"/>
        </w:rPr>
      </w:pPr>
      <w:r w:rsidRPr="002E1752">
        <w:rPr>
          <w:rFonts w:cs="Arial"/>
        </w:rPr>
        <w:t xml:space="preserve">The following table sets out </w:t>
      </w:r>
      <w:r>
        <w:rPr>
          <w:rFonts w:cs="Arial"/>
        </w:rPr>
        <w:t>the amount of arrears collected in 201</w:t>
      </w:r>
      <w:r w:rsidR="006D6606">
        <w:rPr>
          <w:rFonts w:cs="Arial"/>
        </w:rPr>
        <w:t>8</w:t>
      </w:r>
      <w:r>
        <w:rPr>
          <w:rFonts w:cs="Arial"/>
        </w:rPr>
        <w:t>/1</w:t>
      </w:r>
      <w:r w:rsidR="006D6606">
        <w:rPr>
          <w:rFonts w:cs="Arial"/>
        </w:rPr>
        <w:t>9</w:t>
      </w:r>
      <w:r>
        <w:rPr>
          <w:rFonts w:cs="Arial"/>
        </w:rPr>
        <w:t xml:space="preserve"> that related to previous years.  For comparative purposes, the information for 201</w:t>
      </w:r>
      <w:r w:rsidR="006D6606">
        <w:rPr>
          <w:rFonts w:cs="Arial"/>
        </w:rPr>
        <w:t>7</w:t>
      </w:r>
      <w:r>
        <w:rPr>
          <w:rFonts w:cs="Arial"/>
        </w:rPr>
        <w:t>/1</w:t>
      </w:r>
      <w:r w:rsidR="006D6606">
        <w:rPr>
          <w:rFonts w:cs="Arial"/>
        </w:rPr>
        <w:t>8</w:t>
      </w:r>
      <w:r>
        <w:rPr>
          <w:rFonts w:cs="Arial"/>
        </w:rPr>
        <w:t xml:space="preserve"> is also provided.  The table also sets out the level of arrears at the end of 201</w:t>
      </w:r>
      <w:r w:rsidR="006D6606">
        <w:rPr>
          <w:rFonts w:cs="Arial"/>
        </w:rPr>
        <w:t>8</w:t>
      </w:r>
      <w:r>
        <w:rPr>
          <w:rFonts w:cs="Arial"/>
        </w:rPr>
        <w:t>/1</w:t>
      </w:r>
      <w:r w:rsidR="006D6606">
        <w:rPr>
          <w:rFonts w:cs="Arial"/>
        </w:rPr>
        <w:t>9</w:t>
      </w:r>
      <w:r>
        <w:rPr>
          <w:rFonts w:cs="Arial"/>
        </w:rPr>
        <w:t xml:space="preserve"> and 201</w:t>
      </w:r>
      <w:r w:rsidR="006D6606">
        <w:rPr>
          <w:rFonts w:cs="Arial"/>
        </w:rPr>
        <w:t>7</w:t>
      </w:r>
      <w:r>
        <w:rPr>
          <w:rFonts w:cs="Arial"/>
        </w:rPr>
        <w:t>/1</w:t>
      </w:r>
      <w:r w:rsidR="006D6606">
        <w:rPr>
          <w:rFonts w:cs="Arial"/>
        </w:rPr>
        <w:t>8</w:t>
      </w:r>
      <w:r>
        <w:rPr>
          <w:rFonts w:cs="Arial"/>
        </w:rPr>
        <w:t>.</w:t>
      </w:r>
    </w:p>
    <w:p w:rsidR="00122EC9" w:rsidRPr="00122EC9" w:rsidRDefault="00122EC9" w:rsidP="00122EC9">
      <w:pPr>
        <w:jc w:val="both"/>
        <w:rPr>
          <w:rFonts w:cs="Arial"/>
          <w:b/>
          <w:color w:val="FF0000"/>
        </w:rPr>
      </w:pPr>
    </w:p>
    <w:tbl>
      <w:tblPr>
        <w:tblW w:w="10064"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1640"/>
        <w:gridCol w:w="1620"/>
        <w:gridCol w:w="1620"/>
        <w:gridCol w:w="1701"/>
        <w:gridCol w:w="1498"/>
      </w:tblGrid>
      <w:tr w:rsidR="00CB5073" w:rsidRPr="00CB5073" w:rsidTr="00CB5073">
        <w:tc>
          <w:tcPr>
            <w:tcW w:w="1985" w:type="dxa"/>
            <w:shd w:val="clear" w:color="auto" w:fill="D9D9D9" w:themeFill="background1" w:themeFillShade="D9"/>
          </w:tcPr>
          <w:p w:rsidR="00122EC9" w:rsidRPr="00CB5073" w:rsidRDefault="00122EC9" w:rsidP="00122EC9">
            <w:pPr>
              <w:jc w:val="both"/>
              <w:rPr>
                <w:rFonts w:cs="Arial"/>
              </w:rPr>
            </w:pPr>
          </w:p>
        </w:tc>
        <w:tc>
          <w:tcPr>
            <w:tcW w:w="1640" w:type="dxa"/>
            <w:shd w:val="clear" w:color="auto" w:fill="D9D9D9" w:themeFill="background1" w:themeFillShade="D9"/>
            <w:vAlign w:val="center"/>
          </w:tcPr>
          <w:p w:rsidR="00122EC9" w:rsidRPr="00CB5073" w:rsidRDefault="00122EC9" w:rsidP="006D6606">
            <w:pPr>
              <w:jc w:val="center"/>
              <w:rPr>
                <w:rFonts w:cs="Arial"/>
                <w:b/>
              </w:rPr>
            </w:pPr>
            <w:r w:rsidRPr="00CB5073">
              <w:rPr>
                <w:rFonts w:cs="Arial"/>
                <w:b/>
              </w:rPr>
              <w:t>201</w:t>
            </w:r>
            <w:r w:rsidR="006D6606">
              <w:rPr>
                <w:rFonts w:cs="Arial"/>
                <w:b/>
              </w:rPr>
              <w:t>7</w:t>
            </w:r>
            <w:r w:rsidRPr="00CB5073">
              <w:rPr>
                <w:rFonts w:cs="Arial"/>
                <w:b/>
              </w:rPr>
              <w:t>/1</w:t>
            </w:r>
            <w:r w:rsidR="006D6606">
              <w:rPr>
                <w:rFonts w:cs="Arial"/>
                <w:b/>
              </w:rPr>
              <w:t>8</w:t>
            </w:r>
            <w:r w:rsidRPr="00CB5073">
              <w:rPr>
                <w:rFonts w:cs="Arial"/>
                <w:b/>
              </w:rPr>
              <w:t xml:space="preserve"> Previous Years Amount Collected (£000)</w:t>
            </w:r>
          </w:p>
        </w:tc>
        <w:tc>
          <w:tcPr>
            <w:tcW w:w="1620" w:type="dxa"/>
            <w:shd w:val="clear" w:color="auto" w:fill="D9D9D9" w:themeFill="background1" w:themeFillShade="D9"/>
            <w:vAlign w:val="center"/>
          </w:tcPr>
          <w:p w:rsidR="00122EC9" w:rsidRPr="00CB5073" w:rsidRDefault="00122EC9" w:rsidP="006D6606">
            <w:pPr>
              <w:jc w:val="center"/>
              <w:rPr>
                <w:rFonts w:cs="Arial"/>
                <w:b/>
              </w:rPr>
            </w:pPr>
            <w:r w:rsidRPr="00CB5073">
              <w:rPr>
                <w:rFonts w:cs="Arial"/>
                <w:b/>
              </w:rPr>
              <w:t>201</w:t>
            </w:r>
            <w:r w:rsidR="006D6606">
              <w:rPr>
                <w:rFonts w:cs="Arial"/>
                <w:b/>
              </w:rPr>
              <w:t>8</w:t>
            </w:r>
            <w:r w:rsidRPr="00CB5073">
              <w:rPr>
                <w:rFonts w:cs="Arial"/>
                <w:b/>
              </w:rPr>
              <w:t>/1</w:t>
            </w:r>
            <w:r w:rsidR="006D6606">
              <w:rPr>
                <w:rFonts w:cs="Arial"/>
                <w:b/>
              </w:rPr>
              <w:t>9</w:t>
            </w:r>
            <w:r w:rsidRPr="00CB5073">
              <w:rPr>
                <w:rFonts w:cs="Arial"/>
                <w:b/>
              </w:rPr>
              <w:t xml:space="preserve"> Previous Years Amount Collected (£000)</w:t>
            </w:r>
          </w:p>
        </w:tc>
        <w:tc>
          <w:tcPr>
            <w:tcW w:w="162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w:t>
            </w:r>
            <w:r w:rsidR="006D6606">
              <w:rPr>
                <w:rFonts w:cs="Arial"/>
                <w:b/>
              </w:rPr>
              <w:t>8</w:t>
            </w:r>
          </w:p>
          <w:p w:rsidR="00122EC9" w:rsidRPr="00CB5073" w:rsidRDefault="00122EC9" w:rsidP="00122EC9">
            <w:pPr>
              <w:jc w:val="center"/>
              <w:rPr>
                <w:rFonts w:cs="Arial"/>
                <w:b/>
              </w:rPr>
            </w:pPr>
            <w:r w:rsidRPr="00CB5073">
              <w:rPr>
                <w:rFonts w:cs="Arial"/>
                <w:b/>
              </w:rPr>
              <w:t>(£000)</w:t>
            </w:r>
          </w:p>
        </w:tc>
        <w:tc>
          <w:tcPr>
            <w:tcW w:w="1701" w:type="dxa"/>
            <w:shd w:val="clear" w:color="auto" w:fill="D9D9D9" w:themeFill="background1" w:themeFillShade="D9"/>
            <w:vAlign w:val="center"/>
          </w:tcPr>
          <w:p w:rsidR="00122EC9" w:rsidRPr="00CB5073" w:rsidRDefault="00122EC9" w:rsidP="004D1524">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w:t>
            </w:r>
            <w:r w:rsidR="006D6606">
              <w:rPr>
                <w:rFonts w:cs="Arial"/>
                <w:b/>
              </w:rPr>
              <w:t>9</w:t>
            </w:r>
            <w:r w:rsidRPr="00CB5073">
              <w:rPr>
                <w:rFonts w:cs="Arial"/>
                <w:b/>
              </w:rPr>
              <w:t xml:space="preserve"> (including 201</w:t>
            </w:r>
            <w:r w:rsidR="004D1524">
              <w:rPr>
                <w:rFonts w:cs="Arial"/>
                <w:b/>
              </w:rPr>
              <w:t>8</w:t>
            </w:r>
            <w:r w:rsidRPr="00CB5073">
              <w:rPr>
                <w:rFonts w:cs="Arial"/>
                <w:b/>
              </w:rPr>
              <w:t>/1</w:t>
            </w:r>
            <w:r w:rsidR="004D1524">
              <w:rPr>
                <w:rFonts w:cs="Arial"/>
                <w:b/>
              </w:rPr>
              <w:t>9</w:t>
            </w:r>
            <w:r w:rsidRPr="00CB5073">
              <w:rPr>
                <w:rFonts w:cs="Arial"/>
                <w:b/>
              </w:rPr>
              <w:t xml:space="preserve"> arrears) (£000)</w:t>
            </w:r>
          </w:p>
        </w:tc>
        <w:tc>
          <w:tcPr>
            <w:tcW w:w="1498"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Change to Arrears (£000)</w:t>
            </w:r>
          </w:p>
        </w:tc>
      </w:tr>
      <w:tr w:rsidR="006D6606" w:rsidRPr="00122EC9" w:rsidTr="00E831C7">
        <w:trPr>
          <w:trHeight w:val="393"/>
        </w:trPr>
        <w:tc>
          <w:tcPr>
            <w:tcW w:w="1985" w:type="dxa"/>
            <w:shd w:val="clear" w:color="auto" w:fill="auto"/>
            <w:vAlign w:val="center"/>
          </w:tcPr>
          <w:p w:rsidR="006D6606" w:rsidRPr="00122EC9" w:rsidRDefault="006D6606" w:rsidP="006D6606">
            <w:pPr>
              <w:jc w:val="both"/>
              <w:rPr>
                <w:rFonts w:cs="Arial"/>
              </w:rPr>
            </w:pPr>
            <w:r w:rsidRPr="00122EC9">
              <w:rPr>
                <w:rFonts w:cs="Arial"/>
              </w:rPr>
              <w:t>Council Tax</w:t>
            </w:r>
          </w:p>
        </w:tc>
        <w:tc>
          <w:tcPr>
            <w:tcW w:w="1640" w:type="dxa"/>
            <w:shd w:val="clear" w:color="auto" w:fill="auto"/>
            <w:vAlign w:val="center"/>
          </w:tcPr>
          <w:p w:rsidR="006D6606" w:rsidRPr="00122EC9" w:rsidRDefault="006D6606" w:rsidP="006D6606">
            <w:pPr>
              <w:jc w:val="center"/>
              <w:rPr>
                <w:rFonts w:cs="Arial"/>
              </w:rPr>
            </w:pPr>
            <w:r w:rsidRPr="00122EC9">
              <w:rPr>
                <w:rFonts w:cs="Arial"/>
              </w:rPr>
              <w:t>983</w:t>
            </w:r>
          </w:p>
        </w:tc>
        <w:tc>
          <w:tcPr>
            <w:tcW w:w="1620" w:type="dxa"/>
            <w:shd w:val="clear" w:color="auto" w:fill="auto"/>
            <w:vAlign w:val="center"/>
          </w:tcPr>
          <w:p w:rsidR="006D6606" w:rsidRPr="00122EC9" w:rsidRDefault="00125F43" w:rsidP="00A00676">
            <w:pPr>
              <w:jc w:val="center"/>
              <w:rPr>
                <w:rFonts w:cs="Arial"/>
              </w:rPr>
            </w:pPr>
            <w:r>
              <w:rPr>
                <w:rFonts w:cs="Arial"/>
              </w:rPr>
              <w:t>1,0</w:t>
            </w:r>
            <w:r w:rsidR="00A00676">
              <w:rPr>
                <w:rFonts w:cs="Arial"/>
              </w:rPr>
              <w:t>6</w:t>
            </w:r>
            <w:r>
              <w:rPr>
                <w:rFonts w:cs="Arial"/>
              </w:rPr>
              <w:t>1</w:t>
            </w:r>
          </w:p>
        </w:tc>
        <w:tc>
          <w:tcPr>
            <w:tcW w:w="1620" w:type="dxa"/>
            <w:shd w:val="clear" w:color="auto" w:fill="auto"/>
            <w:vAlign w:val="center"/>
          </w:tcPr>
          <w:p w:rsidR="006D6606" w:rsidRPr="00122EC9" w:rsidRDefault="006D6606" w:rsidP="006D6606">
            <w:pPr>
              <w:jc w:val="center"/>
              <w:rPr>
                <w:rFonts w:cs="Arial"/>
              </w:rPr>
            </w:pPr>
            <w:r w:rsidRPr="00122EC9">
              <w:rPr>
                <w:rFonts w:cs="Arial"/>
              </w:rPr>
              <w:t>3,782</w:t>
            </w:r>
          </w:p>
        </w:tc>
        <w:tc>
          <w:tcPr>
            <w:tcW w:w="1701" w:type="dxa"/>
            <w:shd w:val="clear" w:color="auto" w:fill="auto"/>
            <w:vAlign w:val="center"/>
          </w:tcPr>
          <w:p w:rsidR="006D6606" w:rsidRPr="00122EC9" w:rsidRDefault="00125F43" w:rsidP="006D6606">
            <w:pPr>
              <w:jc w:val="center"/>
              <w:rPr>
                <w:rFonts w:cs="Arial"/>
              </w:rPr>
            </w:pPr>
            <w:r>
              <w:rPr>
                <w:rFonts w:cs="Arial"/>
              </w:rPr>
              <w:t>4,073</w:t>
            </w:r>
          </w:p>
        </w:tc>
        <w:tc>
          <w:tcPr>
            <w:tcW w:w="1498" w:type="dxa"/>
            <w:shd w:val="clear" w:color="auto" w:fill="auto"/>
            <w:vAlign w:val="center"/>
          </w:tcPr>
          <w:p w:rsidR="006D6606" w:rsidRPr="00122EC9" w:rsidRDefault="00125F43" w:rsidP="006D6606">
            <w:pPr>
              <w:jc w:val="center"/>
              <w:rPr>
                <w:rFonts w:cs="Arial"/>
              </w:rPr>
            </w:pPr>
            <w:r>
              <w:rPr>
                <w:rFonts w:cs="Arial"/>
              </w:rPr>
              <w:t>291</w:t>
            </w:r>
          </w:p>
        </w:tc>
      </w:tr>
      <w:tr w:rsidR="006D6606" w:rsidRPr="00122EC9" w:rsidTr="00E831C7">
        <w:trPr>
          <w:trHeight w:val="413"/>
        </w:trPr>
        <w:tc>
          <w:tcPr>
            <w:tcW w:w="1985" w:type="dxa"/>
            <w:shd w:val="clear" w:color="auto" w:fill="auto"/>
            <w:vAlign w:val="center"/>
          </w:tcPr>
          <w:p w:rsidR="006D6606" w:rsidRPr="00122EC9" w:rsidRDefault="006D6606" w:rsidP="006D6606">
            <w:pPr>
              <w:jc w:val="both"/>
              <w:rPr>
                <w:rFonts w:cs="Arial"/>
              </w:rPr>
            </w:pPr>
            <w:r w:rsidRPr="00122EC9">
              <w:rPr>
                <w:rFonts w:cs="Arial"/>
              </w:rPr>
              <w:t>Business Rates</w:t>
            </w:r>
          </w:p>
        </w:tc>
        <w:tc>
          <w:tcPr>
            <w:tcW w:w="1640" w:type="dxa"/>
            <w:shd w:val="clear" w:color="auto" w:fill="auto"/>
            <w:vAlign w:val="center"/>
          </w:tcPr>
          <w:p w:rsidR="006D6606" w:rsidRPr="00122EC9" w:rsidRDefault="006D6606" w:rsidP="006D6606">
            <w:pPr>
              <w:jc w:val="center"/>
              <w:rPr>
                <w:rFonts w:cs="Arial"/>
              </w:rPr>
            </w:pPr>
            <w:r w:rsidRPr="00122EC9">
              <w:rPr>
                <w:rFonts w:cs="Arial"/>
              </w:rPr>
              <w:t>146</w:t>
            </w:r>
          </w:p>
        </w:tc>
        <w:tc>
          <w:tcPr>
            <w:tcW w:w="1620" w:type="dxa"/>
            <w:shd w:val="clear" w:color="auto" w:fill="auto"/>
            <w:vAlign w:val="center"/>
          </w:tcPr>
          <w:p w:rsidR="006D6606" w:rsidRPr="00122EC9" w:rsidRDefault="00125F43" w:rsidP="006D6606">
            <w:pPr>
              <w:jc w:val="center"/>
              <w:rPr>
                <w:rFonts w:cs="Arial"/>
              </w:rPr>
            </w:pPr>
            <w:r>
              <w:rPr>
                <w:rFonts w:cs="Arial"/>
              </w:rPr>
              <w:t>(960)</w:t>
            </w:r>
          </w:p>
        </w:tc>
        <w:tc>
          <w:tcPr>
            <w:tcW w:w="1620" w:type="dxa"/>
            <w:shd w:val="clear" w:color="auto" w:fill="auto"/>
            <w:vAlign w:val="center"/>
          </w:tcPr>
          <w:p w:rsidR="006D6606" w:rsidRPr="00122EC9" w:rsidRDefault="006D6606" w:rsidP="006D6606">
            <w:pPr>
              <w:jc w:val="center"/>
              <w:rPr>
                <w:rFonts w:cs="Arial"/>
              </w:rPr>
            </w:pPr>
            <w:r w:rsidRPr="00122EC9">
              <w:rPr>
                <w:rFonts w:cs="Arial"/>
              </w:rPr>
              <w:t>1,222</w:t>
            </w:r>
          </w:p>
        </w:tc>
        <w:tc>
          <w:tcPr>
            <w:tcW w:w="1701" w:type="dxa"/>
            <w:shd w:val="clear" w:color="auto" w:fill="auto"/>
            <w:vAlign w:val="center"/>
          </w:tcPr>
          <w:p w:rsidR="006D6606" w:rsidRPr="00122EC9" w:rsidRDefault="00125F43" w:rsidP="006D6606">
            <w:pPr>
              <w:jc w:val="center"/>
              <w:rPr>
                <w:rFonts w:cs="Arial"/>
              </w:rPr>
            </w:pPr>
            <w:r>
              <w:rPr>
                <w:rFonts w:cs="Arial"/>
              </w:rPr>
              <w:t>1,214</w:t>
            </w:r>
          </w:p>
        </w:tc>
        <w:tc>
          <w:tcPr>
            <w:tcW w:w="1498" w:type="dxa"/>
            <w:shd w:val="clear" w:color="auto" w:fill="auto"/>
            <w:vAlign w:val="center"/>
          </w:tcPr>
          <w:p w:rsidR="006D6606" w:rsidRPr="00122EC9" w:rsidRDefault="00125F43" w:rsidP="006D6606">
            <w:pPr>
              <w:jc w:val="center"/>
              <w:rPr>
                <w:rFonts w:cs="Arial"/>
              </w:rPr>
            </w:pPr>
            <w:r>
              <w:rPr>
                <w:rFonts w:cs="Arial"/>
              </w:rPr>
              <w:t>-8</w:t>
            </w:r>
          </w:p>
        </w:tc>
      </w:tr>
      <w:tr w:rsidR="006D6606" w:rsidRPr="00122EC9" w:rsidTr="00122EC9">
        <w:trPr>
          <w:trHeight w:val="405"/>
        </w:trPr>
        <w:tc>
          <w:tcPr>
            <w:tcW w:w="1985" w:type="dxa"/>
            <w:vAlign w:val="center"/>
          </w:tcPr>
          <w:p w:rsidR="006D6606" w:rsidRPr="00122EC9" w:rsidRDefault="006D6606" w:rsidP="006D6606">
            <w:pPr>
              <w:jc w:val="both"/>
              <w:rPr>
                <w:rFonts w:cs="Arial"/>
              </w:rPr>
            </w:pPr>
            <w:r w:rsidRPr="00122EC9">
              <w:rPr>
                <w:rFonts w:cs="Arial"/>
              </w:rPr>
              <w:t>Sundry Debtors</w:t>
            </w:r>
          </w:p>
        </w:tc>
        <w:tc>
          <w:tcPr>
            <w:tcW w:w="1640" w:type="dxa"/>
            <w:shd w:val="pct15" w:color="auto" w:fill="auto"/>
            <w:vAlign w:val="center"/>
          </w:tcPr>
          <w:p w:rsidR="006D6606" w:rsidRPr="00122EC9" w:rsidRDefault="006D6606" w:rsidP="006D6606">
            <w:pPr>
              <w:jc w:val="center"/>
              <w:rPr>
                <w:rFonts w:cs="Arial"/>
              </w:rPr>
            </w:pPr>
          </w:p>
        </w:tc>
        <w:tc>
          <w:tcPr>
            <w:tcW w:w="1620" w:type="dxa"/>
            <w:shd w:val="pct15" w:color="auto" w:fill="auto"/>
            <w:vAlign w:val="center"/>
          </w:tcPr>
          <w:p w:rsidR="006D6606" w:rsidRPr="00122EC9" w:rsidRDefault="006D6606" w:rsidP="006D6606">
            <w:pPr>
              <w:jc w:val="center"/>
              <w:rPr>
                <w:rFonts w:cs="Arial"/>
              </w:rPr>
            </w:pPr>
          </w:p>
        </w:tc>
        <w:tc>
          <w:tcPr>
            <w:tcW w:w="1620" w:type="dxa"/>
            <w:shd w:val="clear" w:color="auto" w:fill="auto"/>
            <w:vAlign w:val="center"/>
          </w:tcPr>
          <w:p w:rsidR="006D6606" w:rsidRPr="00122EC9" w:rsidRDefault="006D6606" w:rsidP="006D6606">
            <w:pPr>
              <w:jc w:val="center"/>
              <w:rPr>
                <w:rFonts w:cs="Arial"/>
              </w:rPr>
            </w:pPr>
            <w:r w:rsidRPr="00122EC9">
              <w:rPr>
                <w:rFonts w:cs="Arial"/>
              </w:rPr>
              <w:t>1,343</w:t>
            </w:r>
          </w:p>
        </w:tc>
        <w:tc>
          <w:tcPr>
            <w:tcW w:w="1701" w:type="dxa"/>
            <w:shd w:val="clear" w:color="auto" w:fill="auto"/>
            <w:vAlign w:val="center"/>
          </w:tcPr>
          <w:p w:rsidR="006D6606" w:rsidRPr="00122EC9" w:rsidRDefault="00125F43" w:rsidP="006D6606">
            <w:pPr>
              <w:jc w:val="center"/>
              <w:rPr>
                <w:rFonts w:cs="Arial"/>
              </w:rPr>
            </w:pPr>
            <w:r>
              <w:rPr>
                <w:rFonts w:cs="Arial"/>
              </w:rPr>
              <w:t>532</w:t>
            </w:r>
          </w:p>
        </w:tc>
        <w:tc>
          <w:tcPr>
            <w:tcW w:w="1498" w:type="dxa"/>
            <w:shd w:val="clear" w:color="auto" w:fill="auto"/>
            <w:vAlign w:val="center"/>
          </w:tcPr>
          <w:p w:rsidR="006D6606" w:rsidRPr="00122EC9" w:rsidRDefault="00125F43" w:rsidP="006D6606">
            <w:pPr>
              <w:jc w:val="center"/>
              <w:rPr>
                <w:rFonts w:cs="Arial"/>
              </w:rPr>
            </w:pPr>
            <w:r>
              <w:rPr>
                <w:rFonts w:cs="Arial"/>
              </w:rPr>
              <w:t>-811</w:t>
            </w:r>
          </w:p>
        </w:tc>
      </w:tr>
    </w:tbl>
    <w:p w:rsidR="00122EC9" w:rsidRPr="00122EC9" w:rsidRDefault="00122EC9" w:rsidP="00122EC9">
      <w:pPr>
        <w:jc w:val="both"/>
        <w:rPr>
          <w:rFonts w:cs="Arial"/>
          <w:b/>
          <w:color w:val="FF0000"/>
        </w:rPr>
      </w:pPr>
    </w:p>
    <w:p w:rsidR="00122EC9" w:rsidRPr="00122EC9" w:rsidRDefault="00122EC9" w:rsidP="00122EC9">
      <w:pPr>
        <w:jc w:val="both"/>
        <w:rPr>
          <w:rFonts w:cs="Arial"/>
          <w:b/>
          <w:color w:val="FF0000"/>
        </w:rPr>
      </w:pPr>
    </w:p>
    <w:p w:rsidR="00A00676" w:rsidRDefault="00122EC9" w:rsidP="00122EC9">
      <w:pPr>
        <w:jc w:val="both"/>
        <w:rPr>
          <w:rFonts w:cs="Arial"/>
        </w:rPr>
      </w:pPr>
      <w:r w:rsidRPr="00122EC9">
        <w:rPr>
          <w:rFonts w:cs="Arial"/>
        </w:rPr>
        <w:t>The arrears collected figures take account of council tax and business rates that have been refunded following changes to liabilities.  The Valuation Office are continuing to reduce council tax bands and rateable values, which results in charges being reduced for previous years and refunds being issued, which then reduces the Previous Years Amount Collected figures.</w:t>
      </w:r>
      <w:r w:rsidR="00A00676">
        <w:rPr>
          <w:rFonts w:cs="Arial"/>
        </w:rPr>
        <w:t xml:space="preserve"> With </w:t>
      </w:r>
      <w:r w:rsidR="00A00676">
        <w:rPr>
          <w:rFonts w:cs="Arial"/>
        </w:rPr>
        <w:lastRenderedPageBreak/>
        <w:t>regard to Business Rates collected in relation to previous years, this resulted in a net reduction as follows:</w:t>
      </w:r>
    </w:p>
    <w:p w:rsidR="00A00676" w:rsidRDefault="00A00676" w:rsidP="00122EC9">
      <w:pPr>
        <w:jc w:val="both"/>
        <w:rPr>
          <w:rFonts w:cs="Arial"/>
        </w:rPr>
      </w:pPr>
    </w:p>
    <w:p w:rsidR="00A00676" w:rsidRPr="00A00676" w:rsidRDefault="00A00676" w:rsidP="00A00676">
      <w:pPr>
        <w:ind w:left="1440"/>
        <w:jc w:val="both"/>
        <w:rPr>
          <w:rFonts w:cs="Arial"/>
          <w:b/>
        </w:rPr>
      </w:pPr>
      <w:r w:rsidRPr="00A00676">
        <w:rPr>
          <w:rFonts w:cs="Arial"/>
          <w:b/>
        </w:rPr>
        <w:t>1990/91 – 2017/18</w:t>
      </w:r>
    </w:p>
    <w:p w:rsidR="00A00676" w:rsidRDefault="00A00676" w:rsidP="00A00676">
      <w:pPr>
        <w:ind w:left="1440"/>
        <w:jc w:val="both"/>
        <w:rPr>
          <w:rFonts w:cs="Arial"/>
        </w:rPr>
      </w:pPr>
      <w:r>
        <w:rPr>
          <w:rFonts w:cs="Arial"/>
        </w:rPr>
        <w:tab/>
      </w:r>
      <w:r>
        <w:rPr>
          <w:rFonts w:cs="Arial"/>
        </w:rPr>
        <w:tab/>
        <w:t xml:space="preserve">                £ </w:t>
      </w:r>
    </w:p>
    <w:p w:rsidR="00A00676" w:rsidRDefault="00A00676" w:rsidP="00A00676">
      <w:pPr>
        <w:ind w:left="1440"/>
        <w:jc w:val="both"/>
        <w:rPr>
          <w:rFonts w:cs="Arial"/>
        </w:rPr>
      </w:pPr>
      <w:r>
        <w:rPr>
          <w:rFonts w:cs="Arial"/>
        </w:rPr>
        <w:t xml:space="preserve">Collected  </w:t>
      </w:r>
      <w:r>
        <w:rPr>
          <w:rFonts w:cs="Arial"/>
        </w:rPr>
        <w:tab/>
        <w:t xml:space="preserve">  </w:t>
      </w:r>
      <w:r>
        <w:rPr>
          <w:rFonts w:cs="Arial"/>
        </w:rPr>
        <w:tab/>
        <w:t xml:space="preserve"> 1,237</w:t>
      </w:r>
    </w:p>
    <w:p w:rsidR="00A00676" w:rsidRDefault="00A00676" w:rsidP="00A00676">
      <w:pPr>
        <w:ind w:left="1440"/>
        <w:jc w:val="both"/>
        <w:rPr>
          <w:rFonts w:cs="Arial"/>
        </w:rPr>
      </w:pPr>
      <w:r>
        <w:rPr>
          <w:rFonts w:cs="Arial"/>
        </w:rPr>
        <w:t>Refunds issued</w:t>
      </w:r>
      <w:r>
        <w:rPr>
          <w:rFonts w:cs="Arial"/>
        </w:rPr>
        <w:tab/>
      </w:r>
      <w:r w:rsidRPr="00A00676">
        <w:rPr>
          <w:rFonts w:cs="Arial"/>
          <w:u w:val="single"/>
        </w:rPr>
        <w:t>(2,197)</w:t>
      </w:r>
    </w:p>
    <w:p w:rsidR="00122EC9" w:rsidRDefault="00A00676" w:rsidP="00A00676">
      <w:pPr>
        <w:ind w:left="1440"/>
        <w:jc w:val="both"/>
        <w:rPr>
          <w:rFonts w:cs="Arial"/>
        </w:rPr>
      </w:pPr>
      <w:r>
        <w:rPr>
          <w:rFonts w:cs="Arial"/>
        </w:rPr>
        <w:t xml:space="preserve">Net </w:t>
      </w:r>
      <w:r>
        <w:rPr>
          <w:rFonts w:cs="Arial"/>
        </w:rPr>
        <w:tab/>
      </w:r>
      <w:r>
        <w:rPr>
          <w:rFonts w:cs="Arial"/>
        </w:rPr>
        <w:tab/>
      </w:r>
      <w:r>
        <w:rPr>
          <w:rFonts w:cs="Arial"/>
        </w:rPr>
        <w:tab/>
        <w:t xml:space="preserve">   (960)  </w:t>
      </w:r>
    </w:p>
    <w:p w:rsidR="00A00676" w:rsidRDefault="00A00676" w:rsidP="00122EC9">
      <w:pPr>
        <w:jc w:val="both"/>
        <w:rPr>
          <w:rFonts w:cs="Arial"/>
        </w:rPr>
      </w:pPr>
    </w:p>
    <w:p w:rsidR="00122EC9" w:rsidRPr="00A00676" w:rsidRDefault="00122EC9" w:rsidP="00122EC9">
      <w:pPr>
        <w:jc w:val="both"/>
        <w:rPr>
          <w:rFonts w:cs="Arial"/>
        </w:rPr>
      </w:pPr>
    </w:p>
    <w:p w:rsidR="00122EC9" w:rsidRPr="00A00676" w:rsidRDefault="00122EC9" w:rsidP="00122EC9">
      <w:pPr>
        <w:jc w:val="both"/>
        <w:rPr>
          <w:rFonts w:cs="Arial"/>
        </w:rPr>
      </w:pPr>
      <w:r w:rsidRPr="00A00676">
        <w:rPr>
          <w:rFonts w:cs="Arial"/>
        </w:rPr>
        <w:t xml:space="preserve">The </w:t>
      </w:r>
      <w:r w:rsidR="00A00676" w:rsidRPr="00A00676">
        <w:rPr>
          <w:rFonts w:cs="Arial"/>
        </w:rPr>
        <w:t xml:space="preserve">reduction </w:t>
      </w:r>
      <w:r w:rsidRPr="00A00676">
        <w:rPr>
          <w:rFonts w:cs="Arial"/>
        </w:rPr>
        <w:t>in the amount of sundry debtors’ arrears outstanding at 31</w:t>
      </w:r>
      <w:r w:rsidRPr="00A00676">
        <w:rPr>
          <w:rFonts w:cs="Arial"/>
          <w:vertAlign w:val="superscript"/>
        </w:rPr>
        <w:t>st</w:t>
      </w:r>
      <w:r w:rsidRPr="00A00676">
        <w:rPr>
          <w:rFonts w:cs="Arial"/>
        </w:rPr>
        <w:t xml:space="preserve"> March 201</w:t>
      </w:r>
      <w:r w:rsidR="00A00676" w:rsidRPr="00A00676">
        <w:rPr>
          <w:rFonts w:cs="Arial"/>
        </w:rPr>
        <w:t>9</w:t>
      </w:r>
      <w:r w:rsidRPr="00A00676">
        <w:rPr>
          <w:rFonts w:cs="Arial"/>
        </w:rPr>
        <w:t xml:space="preserve"> was due to several large debts being invoiced late in the financial year</w:t>
      </w:r>
      <w:r w:rsidR="00A00676" w:rsidRPr="00A00676">
        <w:rPr>
          <w:rFonts w:cs="Arial"/>
        </w:rPr>
        <w:t xml:space="preserve"> 2017/18</w:t>
      </w:r>
      <w:r w:rsidRPr="00A00676">
        <w:rPr>
          <w:rFonts w:cs="Arial"/>
        </w:rPr>
        <w:t>.  These debts were subsequently collected early in April 2018.</w:t>
      </w:r>
    </w:p>
    <w:p w:rsidR="00122EC9" w:rsidRPr="00A00676" w:rsidRDefault="00122EC9" w:rsidP="00122EC9">
      <w:pPr>
        <w:jc w:val="both"/>
        <w:rPr>
          <w:rFonts w:cs="Arial"/>
        </w:rPr>
      </w:pPr>
    </w:p>
    <w:p w:rsidR="00122EC9" w:rsidRPr="00122EC9" w:rsidRDefault="00122EC9" w:rsidP="00122EC9">
      <w:pPr>
        <w:ind w:left="1440"/>
        <w:jc w:val="right"/>
        <w:rPr>
          <w:b/>
          <w:color w:val="FF0000"/>
        </w:rPr>
      </w:pPr>
    </w:p>
    <w:p w:rsidR="00620E4A" w:rsidRDefault="00B00C02" w:rsidP="003B28A5">
      <w:pPr>
        <w:tabs>
          <w:tab w:val="left" w:pos="2839"/>
        </w:tabs>
        <w:jc w:val="right"/>
        <w:rPr>
          <w:rFonts w:cs="Arial"/>
          <w:b/>
          <w:sz w:val="24"/>
          <w:szCs w:val="24"/>
        </w:rPr>
      </w:pPr>
      <w:r>
        <w:rPr>
          <w:rFonts w:cs="Arial"/>
          <w:b/>
          <w:sz w:val="24"/>
          <w:szCs w:val="24"/>
        </w:rPr>
        <w:t>Appendix C</w:t>
      </w:r>
    </w:p>
    <w:p w:rsidR="00EC4E16" w:rsidRDefault="00EC4E16" w:rsidP="003B28A5">
      <w:pPr>
        <w:tabs>
          <w:tab w:val="left" w:pos="2839"/>
        </w:tabs>
        <w:jc w:val="right"/>
        <w:rPr>
          <w:rFonts w:cs="Arial"/>
          <w:b/>
          <w:sz w:val="24"/>
          <w:szCs w:val="24"/>
        </w:rPr>
      </w:pPr>
    </w:p>
    <w:p w:rsidR="00EC4E16" w:rsidRDefault="00EC4E16" w:rsidP="00EC4E16">
      <w:pPr>
        <w:tabs>
          <w:tab w:val="left" w:pos="2839"/>
        </w:tabs>
        <w:jc w:val="center"/>
        <w:rPr>
          <w:rFonts w:cs="Arial"/>
          <w:b/>
          <w:sz w:val="24"/>
          <w:szCs w:val="24"/>
        </w:rPr>
      </w:pPr>
      <w:r>
        <w:rPr>
          <w:rFonts w:cs="Arial"/>
          <w:b/>
          <w:sz w:val="24"/>
          <w:szCs w:val="24"/>
        </w:rPr>
        <w:t>Capital Outturn 2018/19</w:t>
      </w:r>
    </w:p>
    <w:p w:rsidR="00EC4E16" w:rsidRDefault="00EC4E16" w:rsidP="00EC4E16">
      <w:pPr>
        <w:tabs>
          <w:tab w:val="left" w:pos="2839"/>
        </w:tabs>
        <w:jc w:val="center"/>
        <w:rPr>
          <w:rFonts w:cs="Arial"/>
          <w:b/>
          <w:sz w:val="24"/>
          <w:szCs w:val="24"/>
        </w:rPr>
      </w:pPr>
    </w:p>
    <w:p w:rsidR="003B28A5" w:rsidRDefault="003B28A5" w:rsidP="002E1752">
      <w:pPr>
        <w:tabs>
          <w:tab w:val="left" w:pos="2839"/>
        </w:tabs>
        <w:ind w:left="426" w:hanging="426"/>
        <w:jc w:val="center"/>
        <w:rPr>
          <w:rFonts w:cs="Arial"/>
          <w:b/>
          <w:sz w:val="24"/>
          <w:szCs w:val="24"/>
        </w:rPr>
      </w:pPr>
    </w:p>
    <w:tbl>
      <w:tblPr>
        <w:tblW w:w="9639" w:type="dxa"/>
        <w:jc w:val="center"/>
        <w:tblLayout w:type="fixed"/>
        <w:tblCellMar>
          <w:left w:w="57" w:type="dxa"/>
          <w:right w:w="57" w:type="dxa"/>
        </w:tblCellMar>
        <w:tblLook w:val="04A0" w:firstRow="1" w:lastRow="0" w:firstColumn="1" w:lastColumn="0" w:noHBand="0" w:noVBand="1"/>
      </w:tblPr>
      <w:tblGrid>
        <w:gridCol w:w="2972"/>
        <w:gridCol w:w="1111"/>
        <w:gridCol w:w="1111"/>
        <w:gridCol w:w="1111"/>
        <w:gridCol w:w="1111"/>
        <w:gridCol w:w="1111"/>
        <w:gridCol w:w="1112"/>
      </w:tblGrid>
      <w:tr w:rsidR="00EC4E16" w:rsidRPr="009B5EC3" w:rsidTr="0066294B">
        <w:trPr>
          <w:tblHeader/>
          <w:jc w:val="center"/>
        </w:trPr>
        <w:tc>
          <w:tcPr>
            <w:tcW w:w="2972" w:type="dxa"/>
            <w:tcBorders>
              <w:top w:val="single" w:sz="4" w:space="0" w:color="auto"/>
              <w:left w:val="single" w:sz="4" w:space="0" w:color="auto"/>
              <w:right w:val="single" w:sz="4" w:space="0" w:color="auto"/>
            </w:tcBorders>
            <w:shd w:val="clear" w:color="000000" w:fill="BDD6EE" w:themeFill="accent1" w:themeFillTint="66"/>
            <w:vAlign w:val="center"/>
            <w:hideMark/>
          </w:tcPr>
          <w:p w:rsidR="00EC4E16" w:rsidRPr="009B5EC3" w:rsidRDefault="00EC4E16" w:rsidP="0066294B">
            <w:pPr>
              <w:rPr>
                <w:rFonts w:cs="Arial"/>
                <w:b/>
                <w:sz w:val="20"/>
              </w:rPr>
            </w:pPr>
            <w:r w:rsidRPr="009B5EC3">
              <w:rPr>
                <w:rFonts w:cs="Arial"/>
                <w:sz w:val="20"/>
              </w:rPr>
              <w:br w:type="page"/>
            </w:r>
            <w:r w:rsidRPr="009B5EC3">
              <w:rPr>
                <w:rFonts w:cs="Arial"/>
                <w:b/>
                <w:sz w:val="20"/>
              </w:rPr>
              <w:t>Description</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Pr="009B5EC3" w:rsidRDefault="00EC4E16" w:rsidP="0066294B">
            <w:pPr>
              <w:jc w:val="center"/>
              <w:rPr>
                <w:rFonts w:cs="Arial"/>
                <w:b/>
                <w:sz w:val="20"/>
              </w:rPr>
            </w:pPr>
            <w:r w:rsidRPr="009B5EC3">
              <w:rPr>
                <w:rFonts w:cs="Arial"/>
                <w:b/>
                <w:sz w:val="20"/>
              </w:rPr>
              <w:t>Budget</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Default="00EC4E16" w:rsidP="0066294B">
            <w:pPr>
              <w:jc w:val="center"/>
              <w:rPr>
                <w:rFonts w:cs="Arial"/>
                <w:b/>
                <w:sz w:val="20"/>
              </w:rPr>
            </w:pPr>
            <w:r w:rsidRPr="009B5EC3">
              <w:rPr>
                <w:rFonts w:cs="Arial"/>
                <w:b/>
                <w:sz w:val="20"/>
              </w:rPr>
              <w:t>Revised  Budget</w:t>
            </w:r>
          </w:p>
          <w:p w:rsidR="00EC4E16" w:rsidRPr="009B5EC3" w:rsidRDefault="00EC4E16" w:rsidP="0066294B">
            <w:pPr>
              <w:jc w:val="center"/>
              <w:rPr>
                <w:rFonts w:cs="Arial"/>
                <w:b/>
                <w:sz w:val="20"/>
              </w:rPr>
            </w:pPr>
            <w:r>
              <w:rPr>
                <w:rFonts w:cs="Arial"/>
                <w:b/>
                <w:sz w:val="20"/>
              </w:rPr>
              <w:t>(A)</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Default="00EC4E16" w:rsidP="0066294B">
            <w:pPr>
              <w:jc w:val="center"/>
              <w:rPr>
                <w:rFonts w:cs="Arial"/>
                <w:b/>
                <w:sz w:val="20"/>
              </w:rPr>
            </w:pPr>
            <w:r w:rsidRPr="009B5EC3">
              <w:rPr>
                <w:rFonts w:cs="Arial"/>
                <w:b/>
                <w:sz w:val="20"/>
              </w:rPr>
              <w:t>Expend</w:t>
            </w:r>
            <w:r>
              <w:rPr>
                <w:rFonts w:cs="Arial"/>
                <w:b/>
                <w:sz w:val="20"/>
              </w:rPr>
              <w:t>-</w:t>
            </w:r>
            <w:r w:rsidRPr="009B5EC3">
              <w:rPr>
                <w:rFonts w:cs="Arial"/>
                <w:b/>
                <w:sz w:val="20"/>
              </w:rPr>
              <w:t>iture</w:t>
            </w:r>
          </w:p>
          <w:p w:rsidR="00EC4E16" w:rsidRPr="009B5EC3" w:rsidRDefault="00EC4E16" w:rsidP="0066294B">
            <w:pPr>
              <w:jc w:val="center"/>
              <w:rPr>
                <w:rFonts w:cs="Arial"/>
                <w:b/>
                <w:sz w:val="20"/>
              </w:rPr>
            </w:pPr>
            <w:r>
              <w:rPr>
                <w:rFonts w:cs="Arial"/>
                <w:b/>
                <w:sz w:val="20"/>
              </w:rPr>
              <w:t>(B)</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Pr="009B5EC3" w:rsidRDefault="00EC4E16" w:rsidP="0066294B">
            <w:pPr>
              <w:jc w:val="center"/>
              <w:rPr>
                <w:rFonts w:cs="Arial"/>
                <w:b/>
                <w:sz w:val="20"/>
              </w:rPr>
            </w:pPr>
            <w:r>
              <w:rPr>
                <w:rFonts w:cs="Arial"/>
                <w:b/>
                <w:sz w:val="20"/>
              </w:rPr>
              <w:t>Variance (B) – (A)</w:t>
            </w:r>
            <w:r w:rsidRPr="009B5EC3">
              <w:rPr>
                <w:rFonts w:cs="Arial"/>
                <w:b/>
                <w:sz w:val="20"/>
              </w:rPr>
              <w:t xml:space="preserve"> </w:t>
            </w:r>
          </w:p>
        </w:tc>
        <w:tc>
          <w:tcPr>
            <w:tcW w:w="1111" w:type="dxa"/>
            <w:tcBorders>
              <w:top w:val="single" w:sz="4" w:space="0" w:color="auto"/>
              <w:left w:val="nil"/>
              <w:right w:val="single" w:sz="4" w:space="0" w:color="auto"/>
            </w:tcBorders>
            <w:shd w:val="clear" w:color="000000" w:fill="BDD6EE" w:themeFill="accent1" w:themeFillTint="66"/>
            <w:tcMar>
              <w:left w:w="28" w:type="dxa"/>
              <w:right w:w="28" w:type="dxa"/>
            </w:tcMar>
            <w:vAlign w:val="center"/>
            <w:hideMark/>
          </w:tcPr>
          <w:p w:rsidR="00EC4E16" w:rsidRPr="009B5EC3" w:rsidRDefault="00EC4E16" w:rsidP="0066294B">
            <w:pPr>
              <w:jc w:val="center"/>
              <w:rPr>
                <w:rFonts w:cs="Arial"/>
                <w:b/>
                <w:sz w:val="20"/>
              </w:rPr>
            </w:pPr>
            <w:r w:rsidRPr="009B5EC3">
              <w:rPr>
                <w:rFonts w:cs="Arial"/>
                <w:b/>
                <w:sz w:val="20"/>
              </w:rPr>
              <w:t>Re</w:t>
            </w:r>
            <w:r>
              <w:rPr>
                <w:rFonts w:cs="Arial"/>
                <w:b/>
                <w:sz w:val="20"/>
              </w:rPr>
              <w:t>-</w:t>
            </w:r>
            <w:r w:rsidRPr="009B5EC3">
              <w:rPr>
                <w:rFonts w:cs="Arial"/>
                <w:b/>
                <w:sz w:val="20"/>
              </w:rPr>
              <w:t xml:space="preserve">phased </w:t>
            </w:r>
          </w:p>
          <w:p w:rsidR="00EC4E16" w:rsidRDefault="00EC4E16" w:rsidP="0066294B">
            <w:pPr>
              <w:jc w:val="center"/>
              <w:rPr>
                <w:rFonts w:cs="Arial"/>
                <w:b/>
                <w:sz w:val="20"/>
              </w:rPr>
            </w:pPr>
            <w:r>
              <w:rPr>
                <w:rFonts w:cs="Arial"/>
                <w:b/>
                <w:sz w:val="20"/>
              </w:rPr>
              <w:t>i</w:t>
            </w:r>
            <w:r w:rsidRPr="009B5EC3">
              <w:rPr>
                <w:rFonts w:cs="Arial"/>
                <w:b/>
                <w:sz w:val="20"/>
              </w:rPr>
              <w:t>nto</w:t>
            </w:r>
          </w:p>
          <w:p w:rsidR="00EC4E16" w:rsidRPr="009B5EC3" w:rsidRDefault="00EC4E16" w:rsidP="0066294B">
            <w:pPr>
              <w:jc w:val="center"/>
              <w:rPr>
                <w:rFonts w:cs="Arial"/>
                <w:b/>
                <w:sz w:val="20"/>
              </w:rPr>
            </w:pPr>
            <w:r w:rsidRPr="009B5EC3">
              <w:rPr>
                <w:rFonts w:cs="Arial"/>
                <w:b/>
                <w:sz w:val="20"/>
              </w:rPr>
              <w:t>2019-20</w:t>
            </w:r>
          </w:p>
        </w:tc>
        <w:tc>
          <w:tcPr>
            <w:tcW w:w="1112" w:type="dxa"/>
            <w:tcBorders>
              <w:top w:val="single" w:sz="4" w:space="0" w:color="auto"/>
              <w:left w:val="nil"/>
              <w:right w:val="single" w:sz="4" w:space="0" w:color="auto"/>
            </w:tcBorders>
            <w:shd w:val="clear" w:color="000000" w:fill="BDD6EE" w:themeFill="accent1" w:themeFillTint="66"/>
            <w:vAlign w:val="center"/>
            <w:hideMark/>
          </w:tcPr>
          <w:p w:rsidR="00EC4E16" w:rsidRPr="009B5EC3" w:rsidRDefault="00EC4E16" w:rsidP="0066294B">
            <w:pPr>
              <w:jc w:val="center"/>
              <w:rPr>
                <w:rFonts w:cs="Arial"/>
                <w:b/>
                <w:sz w:val="20"/>
              </w:rPr>
            </w:pPr>
            <w:r w:rsidRPr="009B5EC3">
              <w:rPr>
                <w:rFonts w:cs="Arial"/>
                <w:b/>
                <w:sz w:val="20"/>
              </w:rPr>
              <w:t>Over</w:t>
            </w:r>
            <w:r>
              <w:rPr>
                <w:rFonts w:cs="Arial"/>
                <w:b/>
                <w:sz w:val="20"/>
              </w:rPr>
              <w:t xml:space="preserve"> </w:t>
            </w:r>
            <w:r w:rsidRPr="009B5EC3">
              <w:rPr>
                <w:rFonts w:cs="Arial"/>
                <w:b/>
                <w:sz w:val="20"/>
              </w:rPr>
              <w:t>/</w:t>
            </w:r>
            <w:r>
              <w:rPr>
                <w:rFonts w:cs="Arial"/>
                <w:b/>
                <w:sz w:val="20"/>
              </w:rPr>
              <w:t xml:space="preserve"> </w:t>
            </w:r>
            <w:r w:rsidRPr="009B5EC3">
              <w:rPr>
                <w:rFonts w:cs="Arial"/>
                <w:b/>
                <w:sz w:val="20"/>
              </w:rPr>
              <w:t>(Under)</w:t>
            </w:r>
          </w:p>
          <w:p w:rsidR="00EC4E16" w:rsidRPr="009B5EC3" w:rsidRDefault="00EC4E16" w:rsidP="0066294B">
            <w:pPr>
              <w:jc w:val="center"/>
              <w:rPr>
                <w:rFonts w:cs="Arial"/>
                <w:b/>
                <w:sz w:val="20"/>
              </w:rPr>
            </w:pPr>
            <w:r w:rsidRPr="009B5EC3">
              <w:rPr>
                <w:rFonts w:cs="Arial"/>
                <w:b/>
                <w:sz w:val="20"/>
              </w:rPr>
              <w:t>spend</w:t>
            </w:r>
          </w:p>
        </w:tc>
      </w:tr>
      <w:tr w:rsidR="00EC4E16" w:rsidRPr="009B5EC3" w:rsidTr="0066294B">
        <w:trPr>
          <w:tblHeader/>
          <w:jc w:val="center"/>
        </w:trPr>
        <w:tc>
          <w:tcPr>
            <w:tcW w:w="2972" w:type="dxa"/>
            <w:tcBorders>
              <w:left w:val="single" w:sz="4" w:space="0" w:color="auto"/>
              <w:bottom w:val="single" w:sz="4" w:space="0" w:color="auto"/>
              <w:right w:val="single" w:sz="4" w:space="0" w:color="auto"/>
            </w:tcBorders>
            <w:shd w:val="clear" w:color="000000" w:fill="BDD6EE" w:themeFill="accent1" w:themeFillTint="66"/>
            <w:vAlign w:val="center"/>
          </w:tcPr>
          <w:p w:rsidR="00EC4E16" w:rsidRPr="009B5EC3" w:rsidRDefault="00EC4E16" w:rsidP="0066294B">
            <w:pPr>
              <w:rPr>
                <w:rFonts w:cs="Arial"/>
                <w:b/>
                <w:sz w:val="20"/>
              </w:rPr>
            </w:pP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2"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r>
      <w:tr w:rsidR="00EC4E16" w:rsidRPr="009B5EC3" w:rsidTr="0066294B">
        <w:trPr>
          <w:jc w:val="center"/>
        </w:trPr>
        <w:tc>
          <w:tcPr>
            <w:tcW w:w="4083"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p>
          <w:p w:rsidR="00EC4E16" w:rsidRPr="009B5EC3" w:rsidRDefault="00EC4E16" w:rsidP="0066294B">
            <w:pPr>
              <w:rPr>
                <w:rFonts w:cs="Arial"/>
                <w:sz w:val="20"/>
              </w:rPr>
            </w:pPr>
            <w:r w:rsidRPr="00D3509F">
              <w:rPr>
                <w:rFonts w:cs="Arial"/>
                <w:b/>
                <w:color w:val="0070C0"/>
                <w:sz w:val="20"/>
              </w:rPr>
              <w:t>Health, Leisure and Well Being</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Green Infrastructure</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400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255</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212</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(43)</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Existing Built Assets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655</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249</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249</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Open Spaces and recreational areas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1,540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415</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368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(45)</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(2)</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p>
          <w:p w:rsidR="00EC4E16" w:rsidRDefault="00EC4E16" w:rsidP="0066294B">
            <w:pPr>
              <w:rPr>
                <w:rFonts w:cs="Arial"/>
                <w:sz w:val="20"/>
              </w:rPr>
            </w:pPr>
            <w:r w:rsidRPr="00D3509F">
              <w:rPr>
                <w:rFonts w:cs="Arial"/>
                <w:b/>
                <w:color w:val="0070C0"/>
                <w:sz w:val="20"/>
              </w:rPr>
              <w:t>Place</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Master-planning and regeneration</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427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89</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78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(11)</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5</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Disabled Facilities Grants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848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757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621</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(136)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(136)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Housing Grants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200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Affordable Housing</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Default="00EC4E16" w:rsidP="0066294B">
            <w:pPr>
              <w:jc w:val="right"/>
              <w:rPr>
                <w:rFonts w:cs="Arial"/>
                <w:sz w:val="20"/>
              </w:rPr>
            </w:pPr>
            <w:r>
              <w:rPr>
                <w:rFonts w:cs="Arial"/>
                <w:sz w:val="20"/>
              </w:rPr>
              <w:t>583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4083"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p>
          <w:p w:rsidR="00EC4E16" w:rsidRPr="009B5EC3" w:rsidRDefault="00EC4E16" w:rsidP="0066294B">
            <w:pPr>
              <w:rPr>
                <w:rFonts w:cs="Arial"/>
                <w:sz w:val="20"/>
              </w:rPr>
            </w:pPr>
            <w:r w:rsidRPr="00D3509F">
              <w:rPr>
                <w:rFonts w:cs="Arial"/>
                <w:b/>
                <w:color w:val="0070C0"/>
                <w:sz w:val="20"/>
              </w:rPr>
              <w:t>Excellence and Financial Sustainability</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ICT systems and technology</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227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231</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4</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Vehicles and plant replacement</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1,018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656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420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Corporate buildings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430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176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174</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4</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Investment Property</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3,548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auto"/>
              <w:right w:val="single" w:sz="4" w:space="0" w:color="BFBFBF"/>
            </w:tcBorders>
            <w:shd w:val="clear" w:color="auto" w:fill="auto"/>
            <w:vAlign w:val="center"/>
          </w:tcPr>
          <w:p w:rsidR="00EC4E16" w:rsidRPr="009B5EC3" w:rsidRDefault="00EC4E16" w:rsidP="0066294B">
            <w:pPr>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auto"/>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auto"/>
              <w:left w:val="single" w:sz="4" w:space="0" w:color="auto"/>
              <w:bottom w:val="single" w:sz="4" w:space="0" w:color="auto"/>
              <w:right w:val="single" w:sz="4" w:space="0" w:color="BFBFBF"/>
            </w:tcBorders>
            <w:shd w:val="clear" w:color="auto" w:fill="D9D9D9" w:themeFill="background1" w:themeFillShade="D9"/>
            <w:vAlign w:val="center"/>
          </w:tcPr>
          <w:p w:rsidR="00EC4E16" w:rsidRPr="009B5EC3" w:rsidRDefault="00EC4E16" w:rsidP="0066294B">
            <w:pPr>
              <w:rPr>
                <w:rFonts w:cs="Arial"/>
                <w:b/>
                <w:sz w:val="20"/>
              </w:rPr>
            </w:pPr>
            <w:r w:rsidRPr="009B5EC3">
              <w:rPr>
                <w:rFonts w:cs="Arial"/>
                <w:b/>
                <w:sz w:val="20"/>
              </w:rPr>
              <w:t>TOTAL</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9,882</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2,898</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2,422</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(476)</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(486)</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10</w:t>
            </w:r>
          </w:p>
        </w:tc>
      </w:tr>
    </w:tbl>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B00C02" w:rsidRDefault="00B00C02" w:rsidP="00B00C02">
      <w:pPr>
        <w:ind w:left="1440"/>
        <w:jc w:val="right"/>
        <w:rPr>
          <w:b/>
          <w:sz w:val="24"/>
          <w:szCs w:val="24"/>
          <w:lang w:eastAsia="en-US"/>
        </w:rPr>
      </w:pPr>
      <w:r>
        <w:rPr>
          <w:b/>
          <w:sz w:val="24"/>
          <w:szCs w:val="24"/>
        </w:rPr>
        <w:t>Appendix D</w:t>
      </w:r>
    </w:p>
    <w:p w:rsidR="007E614F" w:rsidRDefault="007E614F" w:rsidP="00B00C02">
      <w:pPr>
        <w:keepNext/>
        <w:jc w:val="center"/>
        <w:outlineLvl w:val="3"/>
        <w:rPr>
          <w:b/>
          <w:sz w:val="24"/>
          <w:szCs w:val="24"/>
          <w:lang w:eastAsia="en-US"/>
        </w:rPr>
      </w:pPr>
    </w:p>
    <w:p w:rsidR="00B00C02" w:rsidRDefault="00B00C02" w:rsidP="00B00C02">
      <w:pPr>
        <w:keepNext/>
        <w:jc w:val="center"/>
        <w:outlineLvl w:val="3"/>
        <w:rPr>
          <w:b/>
          <w:sz w:val="24"/>
          <w:szCs w:val="24"/>
          <w:lang w:eastAsia="en-US"/>
        </w:rPr>
      </w:pPr>
      <w:r w:rsidRPr="003D297B">
        <w:rPr>
          <w:b/>
          <w:sz w:val="24"/>
          <w:szCs w:val="24"/>
          <w:lang w:eastAsia="en-US"/>
        </w:rPr>
        <w:t xml:space="preserve">Summary of Revenue Reserves </w:t>
      </w:r>
      <w:r w:rsidR="003D297B" w:rsidRPr="003D297B">
        <w:rPr>
          <w:b/>
          <w:sz w:val="24"/>
          <w:szCs w:val="24"/>
          <w:lang w:eastAsia="en-US"/>
        </w:rPr>
        <w:t>a</w:t>
      </w:r>
      <w:r w:rsidRPr="003D297B">
        <w:rPr>
          <w:b/>
          <w:sz w:val="24"/>
          <w:szCs w:val="24"/>
          <w:lang w:eastAsia="en-US"/>
        </w:rPr>
        <w:t xml:space="preserve">s </w:t>
      </w:r>
      <w:r w:rsidR="003D297B" w:rsidRPr="003D297B">
        <w:rPr>
          <w:b/>
          <w:sz w:val="24"/>
          <w:szCs w:val="24"/>
          <w:lang w:eastAsia="en-US"/>
        </w:rPr>
        <w:t>at</w:t>
      </w:r>
      <w:r w:rsidRPr="003D297B">
        <w:rPr>
          <w:b/>
          <w:sz w:val="24"/>
          <w:szCs w:val="24"/>
          <w:lang w:eastAsia="en-US"/>
        </w:rPr>
        <w:t xml:space="preserve"> 31 March 201</w:t>
      </w:r>
      <w:r w:rsidR="003D297B" w:rsidRPr="003D297B">
        <w:rPr>
          <w:b/>
          <w:sz w:val="24"/>
          <w:szCs w:val="24"/>
          <w:lang w:eastAsia="en-US"/>
        </w:rPr>
        <w:t>9</w:t>
      </w:r>
    </w:p>
    <w:p w:rsidR="00CF3345" w:rsidRDefault="00CF3345" w:rsidP="00B00C02">
      <w:pPr>
        <w:keepNext/>
        <w:jc w:val="center"/>
        <w:outlineLvl w:val="3"/>
        <w:rPr>
          <w:b/>
          <w:sz w:val="24"/>
          <w:szCs w:val="24"/>
          <w:lang w:eastAsia="en-US"/>
        </w:rPr>
      </w:pPr>
    </w:p>
    <w:p w:rsidR="00CF3345" w:rsidRPr="003D297B" w:rsidRDefault="00CF3345" w:rsidP="00B00C02">
      <w:pPr>
        <w:keepNext/>
        <w:jc w:val="center"/>
        <w:outlineLvl w:val="3"/>
        <w:rPr>
          <w:b/>
          <w:lang w:eastAsia="en-US"/>
        </w:rPr>
      </w:pPr>
      <w:r w:rsidRPr="00CF3345">
        <w:rPr>
          <w:noProof/>
        </w:rPr>
        <w:drawing>
          <wp:inline distT="0" distB="0" distL="0" distR="0">
            <wp:extent cx="6315075" cy="585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856160"/>
                    </a:xfrm>
                    <a:prstGeom prst="rect">
                      <a:avLst/>
                    </a:prstGeom>
                    <a:noFill/>
                    <a:ln>
                      <a:noFill/>
                    </a:ln>
                  </pic:spPr>
                </pic:pic>
              </a:graphicData>
            </a:graphic>
          </wp:inline>
        </w:drawing>
      </w:r>
    </w:p>
    <w:p w:rsidR="00B00C02" w:rsidRPr="006D6606" w:rsidRDefault="00B00C02" w:rsidP="00B00C02">
      <w:pPr>
        <w:rPr>
          <w:rFonts w:cs="Courier New"/>
          <w:color w:val="FF0000"/>
          <w:szCs w:val="22"/>
        </w:rPr>
      </w:pPr>
    </w:p>
    <w:p w:rsidR="00B00C02" w:rsidRPr="006D6606" w:rsidRDefault="00B00C02" w:rsidP="00B00C02">
      <w:pPr>
        <w:jc w:val="both"/>
        <w:rPr>
          <w:color w:val="FF0000"/>
        </w:rPr>
      </w:pPr>
    </w:p>
    <w:p w:rsidR="00CF3345" w:rsidRDefault="00CF3345" w:rsidP="00B00C02">
      <w:pPr>
        <w:jc w:val="both"/>
        <w:rPr>
          <w:color w:val="FF0000"/>
        </w:rPr>
      </w:pPr>
    </w:p>
    <w:p w:rsidR="00985917" w:rsidRPr="006D6606" w:rsidRDefault="00985917" w:rsidP="00F04DC4">
      <w:pPr>
        <w:tabs>
          <w:tab w:val="left" w:pos="2839"/>
        </w:tabs>
        <w:ind w:left="426" w:hanging="426"/>
        <w:rPr>
          <w:rFonts w:cs="Arial"/>
          <w:b/>
          <w:color w:val="FF0000"/>
          <w:szCs w:val="22"/>
        </w:rPr>
      </w:pPr>
    </w:p>
    <w:sectPr w:rsidR="00985917" w:rsidRPr="006D6606" w:rsidSect="002658F8">
      <w:footerReference w:type="default" r:id="rId11"/>
      <w:type w:val="continuous"/>
      <w:pgSz w:w="11906" w:h="16838" w:code="9"/>
      <w:pgMar w:top="1134" w:right="707"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01" w:rsidRDefault="00207101">
      <w:r>
        <w:separator/>
      </w:r>
    </w:p>
  </w:endnote>
  <w:endnote w:type="continuationSeparator" w:id="0">
    <w:p w:rsidR="00207101" w:rsidRDefault="002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53" w:rsidRDefault="00BE2C53">
    <w:pPr>
      <w:pStyle w:val="Footer"/>
    </w:pPr>
  </w:p>
  <w:p w:rsidR="00BE2C53" w:rsidRDefault="00BE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01" w:rsidRDefault="00207101">
      <w:r>
        <w:separator/>
      </w:r>
    </w:p>
  </w:footnote>
  <w:footnote w:type="continuationSeparator" w:id="0">
    <w:p w:rsidR="00207101" w:rsidRDefault="0020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BF35A3"/>
    <w:multiLevelType w:val="singleLevel"/>
    <w:tmpl w:val="CD92CF3C"/>
    <w:lvl w:ilvl="0">
      <w:start w:val="1"/>
      <w:numFmt w:val="decimal"/>
      <w:lvlText w:val="(%1)"/>
      <w:lvlJc w:val="left"/>
      <w:pPr>
        <w:tabs>
          <w:tab w:val="num" w:pos="720"/>
        </w:tabs>
        <w:ind w:left="720" w:hanging="720"/>
      </w:pPr>
      <w:rPr>
        <w:rFonts w:hint="default"/>
      </w:rPr>
    </w:lvl>
  </w:abstractNum>
  <w:abstractNum w:abstractNumId="2" w15:restartNumberingAfterBreak="0">
    <w:nsid w:val="0AE10AC3"/>
    <w:multiLevelType w:val="hybridMultilevel"/>
    <w:tmpl w:val="08F646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BF390C"/>
    <w:multiLevelType w:val="hybridMultilevel"/>
    <w:tmpl w:val="C77ED334"/>
    <w:lvl w:ilvl="0" w:tplc="6302B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B3BDA"/>
    <w:multiLevelType w:val="hybridMultilevel"/>
    <w:tmpl w:val="CFF4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3772"/>
    <w:multiLevelType w:val="hybridMultilevel"/>
    <w:tmpl w:val="81F03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D7784"/>
    <w:multiLevelType w:val="hybridMultilevel"/>
    <w:tmpl w:val="84D42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57252"/>
    <w:multiLevelType w:val="hybridMultilevel"/>
    <w:tmpl w:val="12128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31453A"/>
    <w:multiLevelType w:val="multilevel"/>
    <w:tmpl w:val="DEB2D1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4A94300"/>
    <w:multiLevelType w:val="hybridMultilevel"/>
    <w:tmpl w:val="F8A0BB0C"/>
    <w:lvl w:ilvl="0" w:tplc="2C481618">
      <w:start w:val="1"/>
      <w:numFmt w:val="bullet"/>
      <w:lvlText w:val=""/>
      <w:lvlJc w:val="left"/>
      <w:pPr>
        <w:ind w:left="1353" w:hanging="360"/>
      </w:pPr>
      <w:rPr>
        <w:rFonts w:ascii="Symbol" w:hAnsi="Symbol"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2567F8"/>
    <w:multiLevelType w:val="hybridMultilevel"/>
    <w:tmpl w:val="E12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91926"/>
    <w:multiLevelType w:val="hybridMultilevel"/>
    <w:tmpl w:val="76507CB8"/>
    <w:lvl w:ilvl="0" w:tplc="848C8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2528D4"/>
    <w:multiLevelType w:val="hybridMultilevel"/>
    <w:tmpl w:val="F13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F079A"/>
    <w:multiLevelType w:val="hybridMultilevel"/>
    <w:tmpl w:val="90721308"/>
    <w:lvl w:ilvl="0" w:tplc="2CCCF23C">
      <w:start w:val="1"/>
      <w:numFmt w:val="bullet"/>
      <w:lvlText w:val=""/>
      <w:lvlJc w:val="left"/>
      <w:pPr>
        <w:ind w:left="1952" w:hanging="360"/>
      </w:pPr>
      <w:rPr>
        <w:rFonts w:ascii="Symbol" w:hAnsi="Symbol" w:hint="default"/>
        <w:color w:val="auto"/>
      </w:rPr>
    </w:lvl>
    <w:lvl w:ilvl="1" w:tplc="0809000F">
      <w:start w:val="1"/>
      <w:numFmt w:val="decimal"/>
      <w:lvlText w:val="%2."/>
      <w:lvlJc w:val="left"/>
      <w:pPr>
        <w:ind w:left="2672" w:hanging="360"/>
      </w:pPr>
      <w:rPr>
        <w:rFonts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17" w15:restartNumberingAfterBreak="0">
    <w:nsid w:val="20D139DF"/>
    <w:multiLevelType w:val="hybridMultilevel"/>
    <w:tmpl w:val="D9FAF5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DD5454"/>
    <w:multiLevelType w:val="singleLevel"/>
    <w:tmpl w:val="32FA0884"/>
    <w:lvl w:ilvl="0">
      <w:start w:val="1"/>
      <w:numFmt w:val="decimal"/>
      <w:lvlText w:val="%1."/>
      <w:lvlJc w:val="left"/>
      <w:pPr>
        <w:tabs>
          <w:tab w:val="num" w:pos="360"/>
        </w:tabs>
        <w:ind w:left="360" w:hanging="360"/>
      </w:pPr>
      <w:rPr>
        <w:b w:val="0"/>
        <w:color w:val="auto"/>
      </w:rPr>
    </w:lvl>
  </w:abstractNum>
  <w:abstractNum w:abstractNumId="19" w15:restartNumberingAfterBreak="0">
    <w:nsid w:val="23133C49"/>
    <w:multiLevelType w:val="hybridMultilevel"/>
    <w:tmpl w:val="095EB5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67E6408"/>
    <w:multiLevelType w:val="hybridMultilevel"/>
    <w:tmpl w:val="CC8C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B20D3B"/>
    <w:multiLevelType w:val="multilevel"/>
    <w:tmpl w:val="84DA23E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D67F4E"/>
    <w:multiLevelType w:val="hybridMultilevel"/>
    <w:tmpl w:val="35EC0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B935230"/>
    <w:multiLevelType w:val="multilevel"/>
    <w:tmpl w:val="777AFE4E"/>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E867DB6"/>
    <w:multiLevelType w:val="hybridMultilevel"/>
    <w:tmpl w:val="98E6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F4A70"/>
    <w:multiLevelType w:val="hybridMultilevel"/>
    <w:tmpl w:val="C8109D9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30DB03CF"/>
    <w:multiLevelType w:val="multilevel"/>
    <w:tmpl w:val="B4CA399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6A69D5"/>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3EF86518"/>
    <w:multiLevelType w:val="hybridMultilevel"/>
    <w:tmpl w:val="BD9A3C3A"/>
    <w:lvl w:ilvl="0" w:tplc="2CCCF23C">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1AB74AB"/>
    <w:multiLevelType w:val="hybridMultilevel"/>
    <w:tmpl w:val="B4661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D0799"/>
    <w:multiLevelType w:val="hybridMultilevel"/>
    <w:tmpl w:val="4BA2D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34B4D24"/>
    <w:multiLevelType w:val="hybridMultilevel"/>
    <w:tmpl w:val="64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917B8"/>
    <w:multiLevelType w:val="hybridMultilevel"/>
    <w:tmpl w:val="26AC2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286448"/>
    <w:multiLevelType w:val="hybridMultilevel"/>
    <w:tmpl w:val="F63875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ACA5D61"/>
    <w:multiLevelType w:val="hybridMultilevel"/>
    <w:tmpl w:val="4D70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F10CE"/>
    <w:multiLevelType w:val="hybridMultilevel"/>
    <w:tmpl w:val="A62692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073C3A"/>
    <w:multiLevelType w:val="hybridMultilevel"/>
    <w:tmpl w:val="D4B81868"/>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8" w15:restartNumberingAfterBreak="0">
    <w:nsid w:val="587E1DEB"/>
    <w:multiLevelType w:val="multilevel"/>
    <w:tmpl w:val="AB64B5A0"/>
    <w:lvl w:ilvl="0">
      <w:start w:val="8"/>
      <w:numFmt w:val="decimal"/>
      <w:lvlText w:val="%1"/>
      <w:lvlJc w:val="left"/>
      <w:pPr>
        <w:ind w:left="360" w:hanging="360"/>
      </w:pPr>
      <w:rPr>
        <w:rFonts w:ascii="Arial" w:hAnsi="Arial" w:cs="Arial" w:hint="default"/>
        <w:b w:val="0"/>
        <w:color w:val="auto"/>
      </w:rPr>
    </w:lvl>
    <w:lvl w:ilvl="1">
      <w:start w:val="5"/>
      <w:numFmt w:val="decimal"/>
      <w:lvlText w:val="%1.%2"/>
      <w:lvlJc w:val="left"/>
      <w:pPr>
        <w:ind w:left="644" w:hanging="360"/>
      </w:pPr>
      <w:rPr>
        <w:rFonts w:ascii="Arial" w:hAnsi="Arial" w:cs="Aria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9" w15:restartNumberingAfterBreak="0">
    <w:nsid w:val="596E0A79"/>
    <w:multiLevelType w:val="hybridMultilevel"/>
    <w:tmpl w:val="F0C2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AD028FC"/>
    <w:multiLevelType w:val="hybridMultilevel"/>
    <w:tmpl w:val="FEAC98E0"/>
    <w:lvl w:ilvl="0" w:tplc="34AAEDD8">
      <w:start w:val="1"/>
      <w:numFmt w:val="bullet"/>
      <w:lvlText w:val="•"/>
      <w:lvlJc w:val="left"/>
      <w:pPr>
        <w:tabs>
          <w:tab w:val="num" w:pos="720"/>
        </w:tabs>
        <w:ind w:left="720" w:hanging="360"/>
      </w:pPr>
      <w:rPr>
        <w:rFonts w:ascii="Times New Roman" w:hAnsi="Times New Roman" w:hint="default"/>
      </w:rPr>
    </w:lvl>
    <w:lvl w:ilvl="1" w:tplc="21984FC2" w:tentative="1">
      <w:start w:val="1"/>
      <w:numFmt w:val="bullet"/>
      <w:lvlText w:val="•"/>
      <w:lvlJc w:val="left"/>
      <w:pPr>
        <w:tabs>
          <w:tab w:val="num" w:pos="1440"/>
        </w:tabs>
        <w:ind w:left="1440" w:hanging="360"/>
      </w:pPr>
      <w:rPr>
        <w:rFonts w:ascii="Times New Roman" w:hAnsi="Times New Roman" w:hint="default"/>
      </w:rPr>
    </w:lvl>
    <w:lvl w:ilvl="2" w:tplc="567662EA" w:tentative="1">
      <w:start w:val="1"/>
      <w:numFmt w:val="bullet"/>
      <w:lvlText w:val="•"/>
      <w:lvlJc w:val="left"/>
      <w:pPr>
        <w:tabs>
          <w:tab w:val="num" w:pos="2160"/>
        </w:tabs>
        <w:ind w:left="2160" w:hanging="360"/>
      </w:pPr>
      <w:rPr>
        <w:rFonts w:ascii="Times New Roman" w:hAnsi="Times New Roman" w:hint="default"/>
      </w:rPr>
    </w:lvl>
    <w:lvl w:ilvl="3" w:tplc="315635DA" w:tentative="1">
      <w:start w:val="1"/>
      <w:numFmt w:val="bullet"/>
      <w:lvlText w:val="•"/>
      <w:lvlJc w:val="left"/>
      <w:pPr>
        <w:tabs>
          <w:tab w:val="num" w:pos="2880"/>
        </w:tabs>
        <w:ind w:left="2880" w:hanging="360"/>
      </w:pPr>
      <w:rPr>
        <w:rFonts w:ascii="Times New Roman" w:hAnsi="Times New Roman" w:hint="default"/>
      </w:rPr>
    </w:lvl>
    <w:lvl w:ilvl="4" w:tplc="58402102" w:tentative="1">
      <w:start w:val="1"/>
      <w:numFmt w:val="bullet"/>
      <w:lvlText w:val="•"/>
      <w:lvlJc w:val="left"/>
      <w:pPr>
        <w:tabs>
          <w:tab w:val="num" w:pos="3600"/>
        </w:tabs>
        <w:ind w:left="3600" w:hanging="360"/>
      </w:pPr>
      <w:rPr>
        <w:rFonts w:ascii="Times New Roman" w:hAnsi="Times New Roman" w:hint="default"/>
      </w:rPr>
    </w:lvl>
    <w:lvl w:ilvl="5" w:tplc="B5B43F08" w:tentative="1">
      <w:start w:val="1"/>
      <w:numFmt w:val="bullet"/>
      <w:lvlText w:val="•"/>
      <w:lvlJc w:val="left"/>
      <w:pPr>
        <w:tabs>
          <w:tab w:val="num" w:pos="4320"/>
        </w:tabs>
        <w:ind w:left="4320" w:hanging="360"/>
      </w:pPr>
      <w:rPr>
        <w:rFonts w:ascii="Times New Roman" w:hAnsi="Times New Roman" w:hint="default"/>
      </w:rPr>
    </w:lvl>
    <w:lvl w:ilvl="6" w:tplc="9948F0D2" w:tentative="1">
      <w:start w:val="1"/>
      <w:numFmt w:val="bullet"/>
      <w:lvlText w:val="•"/>
      <w:lvlJc w:val="left"/>
      <w:pPr>
        <w:tabs>
          <w:tab w:val="num" w:pos="5040"/>
        </w:tabs>
        <w:ind w:left="5040" w:hanging="360"/>
      </w:pPr>
      <w:rPr>
        <w:rFonts w:ascii="Times New Roman" w:hAnsi="Times New Roman" w:hint="default"/>
      </w:rPr>
    </w:lvl>
    <w:lvl w:ilvl="7" w:tplc="336C155E" w:tentative="1">
      <w:start w:val="1"/>
      <w:numFmt w:val="bullet"/>
      <w:lvlText w:val="•"/>
      <w:lvlJc w:val="left"/>
      <w:pPr>
        <w:tabs>
          <w:tab w:val="num" w:pos="5760"/>
        </w:tabs>
        <w:ind w:left="5760" w:hanging="360"/>
      </w:pPr>
      <w:rPr>
        <w:rFonts w:ascii="Times New Roman" w:hAnsi="Times New Roman" w:hint="default"/>
      </w:rPr>
    </w:lvl>
    <w:lvl w:ilvl="8" w:tplc="40487EF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CB71113"/>
    <w:multiLevelType w:val="hybridMultilevel"/>
    <w:tmpl w:val="63F4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718CE"/>
    <w:multiLevelType w:val="multilevel"/>
    <w:tmpl w:val="DFB6CF5A"/>
    <w:lvl w:ilvl="0">
      <w:start w:val="1"/>
      <w:numFmt w:val="decimal"/>
      <w:lvlText w:val="%1."/>
      <w:lvlJc w:val="left"/>
      <w:pPr>
        <w:ind w:left="360" w:hanging="360"/>
      </w:pPr>
      <w:rPr>
        <w:rFonts w:ascii="Arial" w:hAnsi="Arial" w:cs="Arial" w:hint="default"/>
        <w:b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5D710D7F"/>
    <w:multiLevelType w:val="multilevel"/>
    <w:tmpl w:val="0E4CECEE"/>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A659B2"/>
    <w:multiLevelType w:val="hybridMultilevel"/>
    <w:tmpl w:val="B1325A72"/>
    <w:lvl w:ilvl="0" w:tplc="B0BA46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CE506E"/>
    <w:multiLevelType w:val="hybridMultilevel"/>
    <w:tmpl w:val="6EFAE4F8"/>
    <w:lvl w:ilvl="0" w:tplc="458C706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153CF5"/>
    <w:multiLevelType w:val="hybridMultilevel"/>
    <w:tmpl w:val="F95CD9F8"/>
    <w:lvl w:ilvl="0" w:tplc="5364B2B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15:restartNumberingAfterBreak="0">
    <w:nsid w:val="64875819"/>
    <w:multiLevelType w:val="hybridMultilevel"/>
    <w:tmpl w:val="1F5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70F81"/>
    <w:multiLevelType w:val="multilevel"/>
    <w:tmpl w:val="08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9" w15:restartNumberingAfterBreak="0">
    <w:nsid w:val="6E1C05ED"/>
    <w:multiLevelType w:val="hybridMultilevel"/>
    <w:tmpl w:val="19B80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714D5722"/>
    <w:multiLevelType w:val="hybridMultilevel"/>
    <w:tmpl w:val="4E14DA26"/>
    <w:lvl w:ilvl="0" w:tplc="9466769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1A6380E"/>
    <w:multiLevelType w:val="hybridMultilevel"/>
    <w:tmpl w:val="3DE6FF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2737FF0"/>
    <w:multiLevelType w:val="multilevel"/>
    <w:tmpl w:val="F5DA419E"/>
    <w:lvl w:ilvl="0">
      <w:start w:val="1"/>
      <w:numFmt w:val="decimal"/>
      <w:lvlText w:val="%1."/>
      <w:lvlJc w:val="left"/>
      <w:pPr>
        <w:tabs>
          <w:tab w:val="num" w:pos="644"/>
        </w:tabs>
        <w:ind w:left="644" w:hanging="360"/>
      </w:pPr>
      <w:rPr>
        <w:rFonts w:ascii="Arial" w:hAnsi="Arial" w:cs="Arial" w:hint="default"/>
        <w:b w:val="0"/>
        <w:color w:val="auto"/>
      </w:rPr>
    </w:lvl>
    <w:lvl w:ilvl="1">
      <w:start w:val="2"/>
      <w:numFmt w:val="decimal"/>
      <w:isLgl/>
      <w:lvlText w:val="%1.%2"/>
      <w:lvlJc w:val="left"/>
      <w:pPr>
        <w:ind w:left="720" w:hanging="360"/>
      </w:pPr>
      <w:rPr>
        <w:rFonts w:ascii="Arial" w:hAnsi="Arial" w:cs="Arial" w:hint="default"/>
        <w:color w:val="auto"/>
        <w:sz w:val="22"/>
        <w:szCs w:val="22"/>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3" w15:restartNumberingAfterBreak="0">
    <w:nsid w:val="763F29FB"/>
    <w:multiLevelType w:val="hybridMultilevel"/>
    <w:tmpl w:val="7A0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8E77DE"/>
    <w:multiLevelType w:val="multilevel"/>
    <w:tmpl w:val="9BB04B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6B676DE"/>
    <w:multiLevelType w:val="multilevel"/>
    <w:tmpl w:val="E0607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7874A37"/>
    <w:multiLevelType w:val="hybridMultilevel"/>
    <w:tmpl w:val="EBB8A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86047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A1B2ED1"/>
    <w:multiLevelType w:val="multilevel"/>
    <w:tmpl w:val="85EC0DB8"/>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D26DC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7C284DED"/>
    <w:multiLevelType w:val="hybridMultilevel"/>
    <w:tmpl w:val="747ADBE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DD0F17"/>
    <w:multiLevelType w:val="hybridMultilevel"/>
    <w:tmpl w:val="924E31CC"/>
    <w:lvl w:ilvl="0" w:tplc="D056FFC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28"/>
  </w:num>
  <w:num w:numId="4">
    <w:abstractNumId w:val="0"/>
  </w:num>
  <w:num w:numId="5">
    <w:abstractNumId w:val="11"/>
  </w:num>
  <w:num w:numId="6">
    <w:abstractNumId w:val="52"/>
  </w:num>
  <w:num w:numId="7">
    <w:abstractNumId w:val="27"/>
  </w:num>
  <w:num w:numId="8">
    <w:abstractNumId w:val="42"/>
  </w:num>
  <w:num w:numId="9">
    <w:abstractNumId w:val="30"/>
  </w:num>
  <w:num w:numId="10">
    <w:abstractNumId w:val="43"/>
  </w:num>
  <w:num w:numId="11">
    <w:abstractNumId w:val="50"/>
  </w:num>
  <w:num w:numId="12">
    <w:abstractNumId w:val="4"/>
  </w:num>
  <w:num w:numId="13">
    <w:abstractNumId w:val="15"/>
  </w:num>
  <w:num w:numId="14">
    <w:abstractNumId w:val="25"/>
  </w:num>
  <w:num w:numId="15">
    <w:abstractNumId w:val="33"/>
  </w:num>
  <w:num w:numId="16">
    <w:abstractNumId w:val="8"/>
  </w:num>
  <w:num w:numId="17">
    <w:abstractNumId w:val="10"/>
  </w:num>
  <w:num w:numId="18">
    <w:abstractNumId w:val="34"/>
  </w:num>
  <w:num w:numId="19">
    <w:abstractNumId w:val="61"/>
  </w:num>
  <w:num w:numId="20">
    <w:abstractNumId w:val="18"/>
  </w:num>
  <w:num w:numId="21">
    <w:abstractNumId w:val="1"/>
    <w:lvlOverride w:ilvl="0">
      <w:startOverride w:val="1"/>
    </w:lvlOverride>
  </w:num>
  <w:num w:numId="22">
    <w:abstractNumId w:val="41"/>
  </w:num>
  <w:num w:numId="23">
    <w:abstractNumId w:val="29"/>
  </w:num>
  <w:num w:numId="24">
    <w:abstractNumId w:val="14"/>
  </w:num>
  <w:num w:numId="25">
    <w:abstractNumId w:val="12"/>
  </w:num>
  <w:num w:numId="26">
    <w:abstractNumId w:val="40"/>
  </w:num>
  <w:num w:numId="27">
    <w:abstractNumId w:val="56"/>
  </w:num>
  <w:num w:numId="28">
    <w:abstractNumId w:val="16"/>
  </w:num>
  <w:num w:numId="29">
    <w:abstractNumId w:val="22"/>
  </w:num>
  <w:num w:numId="30">
    <w:abstractNumId w:val="6"/>
  </w:num>
  <w:num w:numId="31">
    <w:abstractNumId w:val="24"/>
  </w:num>
  <w:num w:numId="32">
    <w:abstractNumId w:val="60"/>
  </w:num>
  <w:num w:numId="33">
    <w:abstractNumId w:val="17"/>
  </w:num>
  <w:num w:numId="34">
    <w:abstractNumId w:val="59"/>
  </w:num>
  <w:num w:numId="35">
    <w:abstractNumId w:val="48"/>
  </w:num>
  <w:num w:numId="36">
    <w:abstractNumId w:val="57"/>
  </w:num>
  <w:num w:numId="37">
    <w:abstractNumId w:val="3"/>
  </w:num>
  <w:num w:numId="38">
    <w:abstractNumId w:val="39"/>
  </w:num>
  <w:num w:numId="39">
    <w:abstractNumId w:val="37"/>
  </w:num>
  <w:num w:numId="40">
    <w:abstractNumId w:val="5"/>
  </w:num>
  <w:num w:numId="41">
    <w:abstractNumId w:val="46"/>
  </w:num>
  <w:num w:numId="42">
    <w:abstractNumId w:val="45"/>
  </w:num>
  <w:num w:numId="43">
    <w:abstractNumId w:val="38"/>
  </w:num>
  <w:num w:numId="44">
    <w:abstractNumId w:val="58"/>
  </w:num>
  <w:num w:numId="45">
    <w:abstractNumId w:val="49"/>
  </w:num>
  <w:num w:numId="46">
    <w:abstractNumId w:val="2"/>
  </w:num>
  <w:num w:numId="47">
    <w:abstractNumId w:val="20"/>
  </w:num>
  <w:num w:numId="48">
    <w:abstractNumId w:val="35"/>
  </w:num>
  <w:num w:numId="49">
    <w:abstractNumId w:val="51"/>
  </w:num>
  <w:num w:numId="50">
    <w:abstractNumId w:val="36"/>
  </w:num>
  <w:num w:numId="51">
    <w:abstractNumId w:val="21"/>
  </w:num>
  <w:num w:numId="52">
    <w:abstractNumId w:val="19"/>
  </w:num>
  <w:num w:numId="53">
    <w:abstractNumId w:val="55"/>
  </w:num>
  <w:num w:numId="54">
    <w:abstractNumId w:val="53"/>
  </w:num>
  <w:num w:numId="55">
    <w:abstractNumId w:val="23"/>
  </w:num>
  <w:num w:numId="56">
    <w:abstractNumId w:val="54"/>
  </w:num>
  <w:num w:numId="57">
    <w:abstractNumId w:val="26"/>
  </w:num>
  <w:num w:numId="58">
    <w:abstractNumId w:val="44"/>
  </w:num>
  <w:num w:numId="59">
    <w:abstractNumId w:val="47"/>
  </w:num>
  <w:num w:numId="60">
    <w:abstractNumId w:val="32"/>
  </w:num>
  <w:num w:numId="61">
    <w:abstractNumId w:val="13"/>
  </w:num>
  <w:num w:numId="6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108C"/>
    <w:rsid w:val="000110AF"/>
    <w:rsid w:val="000158C4"/>
    <w:rsid w:val="00016DD3"/>
    <w:rsid w:val="00025DED"/>
    <w:rsid w:val="00026264"/>
    <w:rsid w:val="00026900"/>
    <w:rsid w:val="0003390B"/>
    <w:rsid w:val="000364B2"/>
    <w:rsid w:val="00042C33"/>
    <w:rsid w:val="00051EBF"/>
    <w:rsid w:val="00054E12"/>
    <w:rsid w:val="000560BC"/>
    <w:rsid w:val="0006161F"/>
    <w:rsid w:val="00062738"/>
    <w:rsid w:val="00073770"/>
    <w:rsid w:val="000770C8"/>
    <w:rsid w:val="0008275A"/>
    <w:rsid w:val="0008776E"/>
    <w:rsid w:val="000905CF"/>
    <w:rsid w:val="000918EF"/>
    <w:rsid w:val="00092CCA"/>
    <w:rsid w:val="000959AC"/>
    <w:rsid w:val="00095DD7"/>
    <w:rsid w:val="000960A8"/>
    <w:rsid w:val="00097A03"/>
    <w:rsid w:val="000A0DC2"/>
    <w:rsid w:val="000A233B"/>
    <w:rsid w:val="000B2310"/>
    <w:rsid w:val="000B5251"/>
    <w:rsid w:val="000C22A5"/>
    <w:rsid w:val="000C44B8"/>
    <w:rsid w:val="000D0B6A"/>
    <w:rsid w:val="000D4924"/>
    <w:rsid w:val="000E0139"/>
    <w:rsid w:val="000E10FE"/>
    <w:rsid w:val="000E36F5"/>
    <w:rsid w:val="000F07D6"/>
    <w:rsid w:val="000F15CE"/>
    <w:rsid w:val="000F1908"/>
    <w:rsid w:val="000F2C8A"/>
    <w:rsid w:val="000F3920"/>
    <w:rsid w:val="000F4187"/>
    <w:rsid w:val="000F448A"/>
    <w:rsid w:val="000F518B"/>
    <w:rsid w:val="000F5DCD"/>
    <w:rsid w:val="00101E9B"/>
    <w:rsid w:val="0010251D"/>
    <w:rsid w:val="00103F6E"/>
    <w:rsid w:val="00105146"/>
    <w:rsid w:val="001052B9"/>
    <w:rsid w:val="00107A09"/>
    <w:rsid w:val="00107C6C"/>
    <w:rsid w:val="001229F0"/>
    <w:rsid w:val="00122EC9"/>
    <w:rsid w:val="00125734"/>
    <w:rsid w:val="001257E2"/>
    <w:rsid w:val="00125F43"/>
    <w:rsid w:val="0014332E"/>
    <w:rsid w:val="00147A15"/>
    <w:rsid w:val="00147C7F"/>
    <w:rsid w:val="00150900"/>
    <w:rsid w:val="0015102E"/>
    <w:rsid w:val="001515FB"/>
    <w:rsid w:val="0015418C"/>
    <w:rsid w:val="001544DD"/>
    <w:rsid w:val="00156D63"/>
    <w:rsid w:val="00157747"/>
    <w:rsid w:val="00165409"/>
    <w:rsid w:val="00174A4B"/>
    <w:rsid w:val="0017576B"/>
    <w:rsid w:val="00176FCA"/>
    <w:rsid w:val="0018060C"/>
    <w:rsid w:val="001830ED"/>
    <w:rsid w:val="00184E1D"/>
    <w:rsid w:val="00186C64"/>
    <w:rsid w:val="001915FF"/>
    <w:rsid w:val="001938D6"/>
    <w:rsid w:val="001B3B46"/>
    <w:rsid w:val="001B5350"/>
    <w:rsid w:val="001B7ACD"/>
    <w:rsid w:val="001C3385"/>
    <w:rsid w:val="001C3A78"/>
    <w:rsid w:val="001C42B7"/>
    <w:rsid w:val="001C546E"/>
    <w:rsid w:val="001C5A88"/>
    <w:rsid w:val="001C5DA2"/>
    <w:rsid w:val="001C5E1C"/>
    <w:rsid w:val="001C5E49"/>
    <w:rsid w:val="001C6249"/>
    <w:rsid w:val="001D0F63"/>
    <w:rsid w:val="001E11E0"/>
    <w:rsid w:val="001E477A"/>
    <w:rsid w:val="001E4D5C"/>
    <w:rsid w:val="001E6A34"/>
    <w:rsid w:val="001E6A56"/>
    <w:rsid w:val="001E6F6C"/>
    <w:rsid w:val="001F028A"/>
    <w:rsid w:val="001F1AB4"/>
    <w:rsid w:val="00200001"/>
    <w:rsid w:val="00207101"/>
    <w:rsid w:val="00216F7C"/>
    <w:rsid w:val="002221BD"/>
    <w:rsid w:val="0022588B"/>
    <w:rsid w:val="00232FD5"/>
    <w:rsid w:val="0023415B"/>
    <w:rsid w:val="00242499"/>
    <w:rsid w:val="00243B76"/>
    <w:rsid w:val="00247EC3"/>
    <w:rsid w:val="00250C42"/>
    <w:rsid w:val="00251892"/>
    <w:rsid w:val="0025591B"/>
    <w:rsid w:val="002658F8"/>
    <w:rsid w:val="002727EC"/>
    <w:rsid w:val="00273DAF"/>
    <w:rsid w:val="00275CB3"/>
    <w:rsid w:val="00281EFE"/>
    <w:rsid w:val="002820A5"/>
    <w:rsid w:val="00283674"/>
    <w:rsid w:val="002850BE"/>
    <w:rsid w:val="00285ADC"/>
    <w:rsid w:val="00287AE5"/>
    <w:rsid w:val="002935AC"/>
    <w:rsid w:val="002A5B83"/>
    <w:rsid w:val="002A5F90"/>
    <w:rsid w:val="002B2CFE"/>
    <w:rsid w:val="002B421F"/>
    <w:rsid w:val="002B6606"/>
    <w:rsid w:val="002B6D60"/>
    <w:rsid w:val="002C0446"/>
    <w:rsid w:val="002C3BD6"/>
    <w:rsid w:val="002C41A7"/>
    <w:rsid w:val="002C4547"/>
    <w:rsid w:val="002C6C85"/>
    <w:rsid w:val="002C6FE8"/>
    <w:rsid w:val="002D38DC"/>
    <w:rsid w:val="002D635E"/>
    <w:rsid w:val="002D7F01"/>
    <w:rsid w:val="002E1752"/>
    <w:rsid w:val="002E4443"/>
    <w:rsid w:val="002E4FF4"/>
    <w:rsid w:val="002F0224"/>
    <w:rsid w:val="002F2622"/>
    <w:rsid w:val="002F5C5E"/>
    <w:rsid w:val="0030140D"/>
    <w:rsid w:val="00304B11"/>
    <w:rsid w:val="00304DF4"/>
    <w:rsid w:val="00305D42"/>
    <w:rsid w:val="00311F61"/>
    <w:rsid w:val="00311F78"/>
    <w:rsid w:val="00312D99"/>
    <w:rsid w:val="00312FA8"/>
    <w:rsid w:val="0032183C"/>
    <w:rsid w:val="0032692E"/>
    <w:rsid w:val="00331258"/>
    <w:rsid w:val="0033404A"/>
    <w:rsid w:val="00335E9A"/>
    <w:rsid w:val="00342AB1"/>
    <w:rsid w:val="00342F19"/>
    <w:rsid w:val="00345C71"/>
    <w:rsid w:val="0035045E"/>
    <w:rsid w:val="00357455"/>
    <w:rsid w:val="00364F6F"/>
    <w:rsid w:val="00372049"/>
    <w:rsid w:val="0037251E"/>
    <w:rsid w:val="003739D0"/>
    <w:rsid w:val="00373A32"/>
    <w:rsid w:val="00381D68"/>
    <w:rsid w:val="00383307"/>
    <w:rsid w:val="00386AAD"/>
    <w:rsid w:val="003902A2"/>
    <w:rsid w:val="00391229"/>
    <w:rsid w:val="00397ABC"/>
    <w:rsid w:val="003A1B3F"/>
    <w:rsid w:val="003A23D3"/>
    <w:rsid w:val="003A2919"/>
    <w:rsid w:val="003B1C55"/>
    <w:rsid w:val="003B1E6D"/>
    <w:rsid w:val="003B2585"/>
    <w:rsid w:val="003B28A5"/>
    <w:rsid w:val="003B2AC7"/>
    <w:rsid w:val="003B33BC"/>
    <w:rsid w:val="003B3A65"/>
    <w:rsid w:val="003B3C22"/>
    <w:rsid w:val="003B4747"/>
    <w:rsid w:val="003B67A4"/>
    <w:rsid w:val="003C0D40"/>
    <w:rsid w:val="003C2BC1"/>
    <w:rsid w:val="003C2EFC"/>
    <w:rsid w:val="003C36EB"/>
    <w:rsid w:val="003C5DCF"/>
    <w:rsid w:val="003C6706"/>
    <w:rsid w:val="003C7A92"/>
    <w:rsid w:val="003D104E"/>
    <w:rsid w:val="003D297B"/>
    <w:rsid w:val="003E33E6"/>
    <w:rsid w:val="003E6A06"/>
    <w:rsid w:val="003E7E20"/>
    <w:rsid w:val="003F5603"/>
    <w:rsid w:val="00405D4A"/>
    <w:rsid w:val="00414A91"/>
    <w:rsid w:val="004218EA"/>
    <w:rsid w:val="004234E7"/>
    <w:rsid w:val="004236AF"/>
    <w:rsid w:val="00426588"/>
    <w:rsid w:val="0042676D"/>
    <w:rsid w:val="00432C61"/>
    <w:rsid w:val="00432F8F"/>
    <w:rsid w:val="004354B2"/>
    <w:rsid w:val="00442C46"/>
    <w:rsid w:val="004458AB"/>
    <w:rsid w:val="00446F54"/>
    <w:rsid w:val="00451170"/>
    <w:rsid w:val="00454C92"/>
    <w:rsid w:val="00461FE0"/>
    <w:rsid w:val="00470FE9"/>
    <w:rsid w:val="00474DA8"/>
    <w:rsid w:val="00475A44"/>
    <w:rsid w:val="0047741D"/>
    <w:rsid w:val="00480C07"/>
    <w:rsid w:val="00497F07"/>
    <w:rsid w:val="004A45D4"/>
    <w:rsid w:val="004A4C78"/>
    <w:rsid w:val="004A52CD"/>
    <w:rsid w:val="004A5BEA"/>
    <w:rsid w:val="004B0539"/>
    <w:rsid w:val="004B3517"/>
    <w:rsid w:val="004B54AC"/>
    <w:rsid w:val="004B6ECC"/>
    <w:rsid w:val="004C02BB"/>
    <w:rsid w:val="004C053F"/>
    <w:rsid w:val="004C06A8"/>
    <w:rsid w:val="004C598E"/>
    <w:rsid w:val="004C743F"/>
    <w:rsid w:val="004D0A39"/>
    <w:rsid w:val="004D11E9"/>
    <w:rsid w:val="004D1524"/>
    <w:rsid w:val="004D34FF"/>
    <w:rsid w:val="004D53BD"/>
    <w:rsid w:val="004D611A"/>
    <w:rsid w:val="004D7260"/>
    <w:rsid w:val="004E25DE"/>
    <w:rsid w:val="004E54E0"/>
    <w:rsid w:val="004F022E"/>
    <w:rsid w:val="004F23B3"/>
    <w:rsid w:val="004F35C3"/>
    <w:rsid w:val="004F3E29"/>
    <w:rsid w:val="00502FF0"/>
    <w:rsid w:val="005041BB"/>
    <w:rsid w:val="00512990"/>
    <w:rsid w:val="005129AD"/>
    <w:rsid w:val="005156C0"/>
    <w:rsid w:val="00515D1B"/>
    <w:rsid w:val="00516751"/>
    <w:rsid w:val="005171D3"/>
    <w:rsid w:val="00521C9E"/>
    <w:rsid w:val="005222CD"/>
    <w:rsid w:val="00525728"/>
    <w:rsid w:val="00533345"/>
    <w:rsid w:val="00533525"/>
    <w:rsid w:val="005465BD"/>
    <w:rsid w:val="00547120"/>
    <w:rsid w:val="00547481"/>
    <w:rsid w:val="00551A34"/>
    <w:rsid w:val="0055326D"/>
    <w:rsid w:val="00555059"/>
    <w:rsid w:val="00555962"/>
    <w:rsid w:val="00576A82"/>
    <w:rsid w:val="00577A58"/>
    <w:rsid w:val="0059200D"/>
    <w:rsid w:val="005925CF"/>
    <w:rsid w:val="00594ACA"/>
    <w:rsid w:val="00595826"/>
    <w:rsid w:val="005A26AD"/>
    <w:rsid w:val="005A3182"/>
    <w:rsid w:val="005A4079"/>
    <w:rsid w:val="005A45C6"/>
    <w:rsid w:val="005B0C36"/>
    <w:rsid w:val="005B36AD"/>
    <w:rsid w:val="005B6390"/>
    <w:rsid w:val="005C52C5"/>
    <w:rsid w:val="005D189B"/>
    <w:rsid w:val="005D4F59"/>
    <w:rsid w:val="005D5A99"/>
    <w:rsid w:val="005E02D6"/>
    <w:rsid w:val="005E1EFA"/>
    <w:rsid w:val="005E4D98"/>
    <w:rsid w:val="005E67C9"/>
    <w:rsid w:val="005E7875"/>
    <w:rsid w:val="005F511C"/>
    <w:rsid w:val="005F7E6E"/>
    <w:rsid w:val="006029FB"/>
    <w:rsid w:val="00602CF8"/>
    <w:rsid w:val="0060374B"/>
    <w:rsid w:val="0060458C"/>
    <w:rsid w:val="00617450"/>
    <w:rsid w:val="006174FE"/>
    <w:rsid w:val="00620E4A"/>
    <w:rsid w:val="00621229"/>
    <w:rsid w:val="006247D3"/>
    <w:rsid w:val="00625355"/>
    <w:rsid w:val="006268A3"/>
    <w:rsid w:val="00630F86"/>
    <w:rsid w:val="00630FF5"/>
    <w:rsid w:val="006323A7"/>
    <w:rsid w:val="00633396"/>
    <w:rsid w:val="00641FAF"/>
    <w:rsid w:val="00645A0B"/>
    <w:rsid w:val="00650CB5"/>
    <w:rsid w:val="006555E6"/>
    <w:rsid w:val="00660D3D"/>
    <w:rsid w:val="006616B2"/>
    <w:rsid w:val="00661B9F"/>
    <w:rsid w:val="0066294B"/>
    <w:rsid w:val="00663667"/>
    <w:rsid w:val="006641B5"/>
    <w:rsid w:val="00667B4B"/>
    <w:rsid w:val="00673F93"/>
    <w:rsid w:val="00680096"/>
    <w:rsid w:val="006847C6"/>
    <w:rsid w:val="006879CA"/>
    <w:rsid w:val="00687CFC"/>
    <w:rsid w:val="006A463B"/>
    <w:rsid w:val="006A5FBD"/>
    <w:rsid w:val="006B645E"/>
    <w:rsid w:val="006B7116"/>
    <w:rsid w:val="006C04C1"/>
    <w:rsid w:val="006C209A"/>
    <w:rsid w:val="006C46AE"/>
    <w:rsid w:val="006C6756"/>
    <w:rsid w:val="006D2A2D"/>
    <w:rsid w:val="006D4926"/>
    <w:rsid w:val="006D620A"/>
    <w:rsid w:val="006D6606"/>
    <w:rsid w:val="006E09FB"/>
    <w:rsid w:val="006E20CD"/>
    <w:rsid w:val="006F100A"/>
    <w:rsid w:val="006F2214"/>
    <w:rsid w:val="006F5894"/>
    <w:rsid w:val="006F68BA"/>
    <w:rsid w:val="006F76A3"/>
    <w:rsid w:val="00700150"/>
    <w:rsid w:val="00701359"/>
    <w:rsid w:val="00707E99"/>
    <w:rsid w:val="00711918"/>
    <w:rsid w:val="00712E3F"/>
    <w:rsid w:val="00713C5E"/>
    <w:rsid w:val="00714291"/>
    <w:rsid w:val="00716B6A"/>
    <w:rsid w:val="00717EB0"/>
    <w:rsid w:val="00722ABE"/>
    <w:rsid w:val="007238BC"/>
    <w:rsid w:val="00733663"/>
    <w:rsid w:val="007342BC"/>
    <w:rsid w:val="007343E5"/>
    <w:rsid w:val="0074139B"/>
    <w:rsid w:val="007435F4"/>
    <w:rsid w:val="0074559F"/>
    <w:rsid w:val="00745F9F"/>
    <w:rsid w:val="00746F31"/>
    <w:rsid w:val="007501C8"/>
    <w:rsid w:val="00752562"/>
    <w:rsid w:val="00760EC8"/>
    <w:rsid w:val="00767ED1"/>
    <w:rsid w:val="007703FF"/>
    <w:rsid w:val="00772B9C"/>
    <w:rsid w:val="00775729"/>
    <w:rsid w:val="00775D75"/>
    <w:rsid w:val="00777093"/>
    <w:rsid w:val="00780E10"/>
    <w:rsid w:val="0078263A"/>
    <w:rsid w:val="007831CE"/>
    <w:rsid w:val="00784AF9"/>
    <w:rsid w:val="00787917"/>
    <w:rsid w:val="0079052C"/>
    <w:rsid w:val="00791C4E"/>
    <w:rsid w:val="00792A2B"/>
    <w:rsid w:val="00792B87"/>
    <w:rsid w:val="00794E7E"/>
    <w:rsid w:val="007A3A14"/>
    <w:rsid w:val="007A4F57"/>
    <w:rsid w:val="007A7A04"/>
    <w:rsid w:val="007B0BD4"/>
    <w:rsid w:val="007B78B3"/>
    <w:rsid w:val="007C161D"/>
    <w:rsid w:val="007C7B0A"/>
    <w:rsid w:val="007D29A1"/>
    <w:rsid w:val="007D4082"/>
    <w:rsid w:val="007D4DF1"/>
    <w:rsid w:val="007D7207"/>
    <w:rsid w:val="007E43C4"/>
    <w:rsid w:val="007E4679"/>
    <w:rsid w:val="007E56AC"/>
    <w:rsid w:val="007E614F"/>
    <w:rsid w:val="007E74C4"/>
    <w:rsid w:val="007F049E"/>
    <w:rsid w:val="007F5F29"/>
    <w:rsid w:val="008012F0"/>
    <w:rsid w:val="00814F13"/>
    <w:rsid w:val="008256FF"/>
    <w:rsid w:val="00832DCE"/>
    <w:rsid w:val="00836011"/>
    <w:rsid w:val="0083651E"/>
    <w:rsid w:val="00841448"/>
    <w:rsid w:val="008436B0"/>
    <w:rsid w:val="00856821"/>
    <w:rsid w:val="00862EB8"/>
    <w:rsid w:val="0086309C"/>
    <w:rsid w:val="00864D08"/>
    <w:rsid w:val="00865F38"/>
    <w:rsid w:val="00871B49"/>
    <w:rsid w:val="00872D72"/>
    <w:rsid w:val="0087676B"/>
    <w:rsid w:val="0087740C"/>
    <w:rsid w:val="0087763A"/>
    <w:rsid w:val="0088309A"/>
    <w:rsid w:val="00893AD2"/>
    <w:rsid w:val="008A03CE"/>
    <w:rsid w:val="008A2F6B"/>
    <w:rsid w:val="008A42E3"/>
    <w:rsid w:val="008A4F66"/>
    <w:rsid w:val="008A77AB"/>
    <w:rsid w:val="008B41C5"/>
    <w:rsid w:val="008B6406"/>
    <w:rsid w:val="008B70D2"/>
    <w:rsid w:val="008C3B1A"/>
    <w:rsid w:val="008C3B42"/>
    <w:rsid w:val="008C5420"/>
    <w:rsid w:val="008D519B"/>
    <w:rsid w:val="008D623F"/>
    <w:rsid w:val="008D725B"/>
    <w:rsid w:val="008E03C3"/>
    <w:rsid w:val="008E5D72"/>
    <w:rsid w:val="008F184B"/>
    <w:rsid w:val="008F3778"/>
    <w:rsid w:val="008F4B91"/>
    <w:rsid w:val="00902C6C"/>
    <w:rsid w:val="0090408C"/>
    <w:rsid w:val="0090542C"/>
    <w:rsid w:val="00905FF0"/>
    <w:rsid w:val="00906C23"/>
    <w:rsid w:val="00911198"/>
    <w:rsid w:val="00924A83"/>
    <w:rsid w:val="009279C5"/>
    <w:rsid w:val="009350CB"/>
    <w:rsid w:val="00935CFF"/>
    <w:rsid w:val="0093680A"/>
    <w:rsid w:val="009410B3"/>
    <w:rsid w:val="0094732B"/>
    <w:rsid w:val="009538AE"/>
    <w:rsid w:val="009548D5"/>
    <w:rsid w:val="0095552A"/>
    <w:rsid w:val="009575A6"/>
    <w:rsid w:val="00970DFA"/>
    <w:rsid w:val="00975B69"/>
    <w:rsid w:val="00980267"/>
    <w:rsid w:val="00983020"/>
    <w:rsid w:val="00983049"/>
    <w:rsid w:val="00983CD5"/>
    <w:rsid w:val="009850EC"/>
    <w:rsid w:val="00985653"/>
    <w:rsid w:val="00985917"/>
    <w:rsid w:val="00985961"/>
    <w:rsid w:val="00991A04"/>
    <w:rsid w:val="00992E79"/>
    <w:rsid w:val="009930FF"/>
    <w:rsid w:val="00993485"/>
    <w:rsid w:val="0099546F"/>
    <w:rsid w:val="00995A4D"/>
    <w:rsid w:val="00996717"/>
    <w:rsid w:val="009A201E"/>
    <w:rsid w:val="009A6261"/>
    <w:rsid w:val="009A6710"/>
    <w:rsid w:val="009A714A"/>
    <w:rsid w:val="009B03FE"/>
    <w:rsid w:val="009B077F"/>
    <w:rsid w:val="009B5A53"/>
    <w:rsid w:val="009B7C5B"/>
    <w:rsid w:val="009C1143"/>
    <w:rsid w:val="009C1D22"/>
    <w:rsid w:val="009C3F68"/>
    <w:rsid w:val="009C71B9"/>
    <w:rsid w:val="009D0575"/>
    <w:rsid w:val="009D543D"/>
    <w:rsid w:val="009D7CF8"/>
    <w:rsid w:val="009E48E0"/>
    <w:rsid w:val="009F7748"/>
    <w:rsid w:val="00A00676"/>
    <w:rsid w:val="00A02A25"/>
    <w:rsid w:val="00A05B29"/>
    <w:rsid w:val="00A07C91"/>
    <w:rsid w:val="00A10B2C"/>
    <w:rsid w:val="00A13E68"/>
    <w:rsid w:val="00A1406A"/>
    <w:rsid w:val="00A20DC5"/>
    <w:rsid w:val="00A228A7"/>
    <w:rsid w:val="00A22D02"/>
    <w:rsid w:val="00A30426"/>
    <w:rsid w:val="00A331CF"/>
    <w:rsid w:val="00A334F2"/>
    <w:rsid w:val="00A3786C"/>
    <w:rsid w:val="00A44E8C"/>
    <w:rsid w:val="00A45392"/>
    <w:rsid w:val="00A4702E"/>
    <w:rsid w:val="00A50754"/>
    <w:rsid w:val="00A56681"/>
    <w:rsid w:val="00A572D8"/>
    <w:rsid w:val="00A611A9"/>
    <w:rsid w:val="00A62202"/>
    <w:rsid w:val="00A76482"/>
    <w:rsid w:val="00A77EEA"/>
    <w:rsid w:val="00A82DF0"/>
    <w:rsid w:val="00A90ABA"/>
    <w:rsid w:val="00A92BA6"/>
    <w:rsid w:val="00A94E4F"/>
    <w:rsid w:val="00A95791"/>
    <w:rsid w:val="00AA0B01"/>
    <w:rsid w:val="00AA0F8E"/>
    <w:rsid w:val="00AA267C"/>
    <w:rsid w:val="00AA63A0"/>
    <w:rsid w:val="00AB0598"/>
    <w:rsid w:val="00AB183A"/>
    <w:rsid w:val="00AB5D0E"/>
    <w:rsid w:val="00AB6B48"/>
    <w:rsid w:val="00AC065B"/>
    <w:rsid w:val="00AC4A99"/>
    <w:rsid w:val="00AC5A6B"/>
    <w:rsid w:val="00AD0DF4"/>
    <w:rsid w:val="00AE60EE"/>
    <w:rsid w:val="00AE6285"/>
    <w:rsid w:val="00AF74B1"/>
    <w:rsid w:val="00AF7BB4"/>
    <w:rsid w:val="00B00001"/>
    <w:rsid w:val="00B00C02"/>
    <w:rsid w:val="00B05511"/>
    <w:rsid w:val="00B05FE8"/>
    <w:rsid w:val="00B0785A"/>
    <w:rsid w:val="00B16CC5"/>
    <w:rsid w:val="00B1788B"/>
    <w:rsid w:val="00B2094C"/>
    <w:rsid w:val="00B22931"/>
    <w:rsid w:val="00B31E39"/>
    <w:rsid w:val="00B443DD"/>
    <w:rsid w:val="00B47247"/>
    <w:rsid w:val="00B47981"/>
    <w:rsid w:val="00B513A1"/>
    <w:rsid w:val="00B51DB8"/>
    <w:rsid w:val="00B527C1"/>
    <w:rsid w:val="00B528A8"/>
    <w:rsid w:val="00B55EF0"/>
    <w:rsid w:val="00B61293"/>
    <w:rsid w:val="00B62D79"/>
    <w:rsid w:val="00B63810"/>
    <w:rsid w:val="00B70B91"/>
    <w:rsid w:val="00B70FEC"/>
    <w:rsid w:val="00B716F5"/>
    <w:rsid w:val="00B72A06"/>
    <w:rsid w:val="00B766C4"/>
    <w:rsid w:val="00B82001"/>
    <w:rsid w:val="00B82BCA"/>
    <w:rsid w:val="00B82D85"/>
    <w:rsid w:val="00B91977"/>
    <w:rsid w:val="00B92298"/>
    <w:rsid w:val="00B9339A"/>
    <w:rsid w:val="00BA01A0"/>
    <w:rsid w:val="00BA2606"/>
    <w:rsid w:val="00BB16B6"/>
    <w:rsid w:val="00BB40E1"/>
    <w:rsid w:val="00BC3DB7"/>
    <w:rsid w:val="00BC6635"/>
    <w:rsid w:val="00BD0E72"/>
    <w:rsid w:val="00BD4993"/>
    <w:rsid w:val="00BE08CA"/>
    <w:rsid w:val="00BE2A3F"/>
    <w:rsid w:val="00BE2C53"/>
    <w:rsid w:val="00BE41EB"/>
    <w:rsid w:val="00BF14F0"/>
    <w:rsid w:val="00BF19C0"/>
    <w:rsid w:val="00BF1EC9"/>
    <w:rsid w:val="00BF540E"/>
    <w:rsid w:val="00BF5EBB"/>
    <w:rsid w:val="00BF688E"/>
    <w:rsid w:val="00BF6DB4"/>
    <w:rsid w:val="00BF76FE"/>
    <w:rsid w:val="00C00043"/>
    <w:rsid w:val="00C00E27"/>
    <w:rsid w:val="00C0176A"/>
    <w:rsid w:val="00C022F9"/>
    <w:rsid w:val="00C04ADA"/>
    <w:rsid w:val="00C05BC0"/>
    <w:rsid w:val="00C157CD"/>
    <w:rsid w:val="00C209E3"/>
    <w:rsid w:val="00C228B1"/>
    <w:rsid w:val="00C22E23"/>
    <w:rsid w:val="00C30128"/>
    <w:rsid w:val="00C30E38"/>
    <w:rsid w:val="00C32C6A"/>
    <w:rsid w:val="00C379BD"/>
    <w:rsid w:val="00C40D91"/>
    <w:rsid w:val="00C4146A"/>
    <w:rsid w:val="00C43B6B"/>
    <w:rsid w:val="00C47B27"/>
    <w:rsid w:val="00C508C8"/>
    <w:rsid w:val="00C50CD1"/>
    <w:rsid w:val="00C521FD"/>
    <w:rsid w:val="00C523AF"/>
    <w:rsid w:val="00C52450"/>
    <w:rsid w:val="00C53CC9"/>
    <w:rsid w:val="00C55D7E"/>
    <w:rsid w:val="00C64495"/>
    <w:rsid w:val="00C64ED1"/>
    <w:rsid w:val="00C65929"/>
    <w:rsid w:val="00C66218"/>
    <w:rsid w:val="00C66979"/>
    <w:rsid w:val="00C66BAA"/>
    <w:rsid w:val="00C70787"/>
    <w:rsid w:val="00C80A09"/>
    <w:rsid w:val="00C903A0"/>
    <w:rsid w:val="00C903AC"/>
    <w:rsid w:val="00C922DE"/>
    <w:rsid w:val="00C94502"/>
    <w:rsid w:val="00C970E4"/>
    <w:rsid w:val="00CA3A24"/>
    <w:rsid w:val="00CB1505"/>
    <w:rsid w:val="00CB2155"/>
    <w:rsid w:val="00CB32DF"/>
    <w:rsid w:val="00CB5073"/>
    <w:rsid w:val="00CC3246"/>
    <w:rsid w:val="00CC3957"/>
    <w:rsid w:val="00CC5434"/>
    <w:rsid w:val="00CD715B"/>
    <w:rsid w:val="00CE230C"/>
    <w:rsid w:val="00CE3DA1"/>
    <w:rsid w:val="00CE4482"/>
    <w:rsid w:val="00CE49D2"/>
    <w:rsid w:val="00CF1C8A"/>
    <w:rsid w:val="00CF230A"/>
    <w:rsid w:val="00CF31F4"/>
    <w:rsid w:val="00CF3345"/>
    <w:rsid w:val="00CF6B60"/>
    <w:rsid w:val="00D03328"/>
    <w:rsid w:val="00D07113"/>
    <w:rsid w:val="00D12A2C"/>
    <w:rsid w:val="00D12B74"/>
    <w:rsid w:val="00D14BBD"/>
    <w:rsid w:val="00D16966"/>
    <w:rsid w:val="00D16E98"/>
    <w:rsid w:val="00D20C5C"/>
    <w:rsid w:val="00D21011"/>
    <w:rsid w:val="00D22A9A"/>
    <w:rsid w:val="00D23A3D"/>
    <w:rsid w:val="00D23B41"/>
    <w:rsid w:val="00D24F5C"/>
    <w:rsid w:val="00D3412B"/>
    <w:rsid w:val="00D341CC"/>
    <w:rsid w:val="00D36638"/>
    <w:rsid w:val="00D37BAE"/>
    <w:rsid w:val="00D40CDC"/>
    <w:rsid w:val="00D457C8"/>
    <w:rsid w:val="00D45AE7"/>
    <w:rsid w:val="00D47117"/>
    <w:rsid w:val="00D50202"/>
    <w:rsid w:val="00D50704"/>
    <w:rsid w:val="00D50D60"/>
    <w:rsid w:val="00D52CA0"/>
    <w:rsid w:val="00D53BB6"/>
    <w:rsid w:val="00D677EF"/>
    <w:rsid w:val="00D7343A"/>
    <w:rsid w:val="00D772AB"/>
    <w:rsid w:val="00D83BF0"/>
    <w:rsid w:val="00D84146"/>
    <w:rsid w:val="00D84F86"/>
    <w:rsid w:val="00D867B4"/>
    <w:rsid w:val="00D87819"/>
    <w:rsid w:val="00D90470"/>
    <w:rsid w:val="00D90A00"/>
    <w:rsid w:val="00D91845"/>
    <w:rsid w:val="00D93413"/>
    <w:rsid w:val="00D9371C"/>
    <w:rsid w:val="00D94250"/>
    <w:rsid w:val="00DA606F"/>
    <w:rsid w:val="00DA764D"/>
    <w:rsid w:val="00DB3FD0"/>
    <w:rsid w:val="00DB4AF0"/>
    <w:rsid w:val="00DB5E2B"/>
    <w:rsid w:val="00DC0701"/>
    <w:rsid w:val="00DC0F9D"/>
    <w:rsid w:val="00DC2DEE"/>
    <w:rsid w:val="00DC373B"/>
    <w:rsid w:val="00DC6F40"/>
    <w:rsid w:val="00DD000C"/>
    <w:rsid w:val="00DD1BC4"/>
    <w:rsid w:val="00DE5E12"/>
    <w:rsid w:val="00DF0088"/>
    <w:rsid w:val="00DF5918"/>
    <w:rsid w:val="00E01D99"/>
    <w:rsid w:val="00E0306E"/>
    <w:rsid w:val="00E03E70"/>
    <w:rsid w:val="00E03E99"/>
    <w:rsid w:val="00E2196F"/>
    <w:rsid w:val="00E2276E"/>
    <w:rsid w:val="00E22F49"/>
    <w:rsid w:val="00E243A8"/>
    <w:rsid w:val="00E25673"/>
    <w:rsid w:val="00E32AA6"/>
    <w:rsid w:val="00E33858"/>
    <w:rsid w:val="00E37353"/>
    <w:rsid w:val="00E3752F"/>
    <w:rsid w:val="00E37B7D"/>
    <w:rsid w:val="00E41950"/>
    <w:rsid w:val="00E42154"/>
    <w:rsid w:val="00E46882"/>
    <w:rsid w:val="00E51C3E"/>
    <w:rsid w:val="00E569CB"/>
    <w:rsid w:val="00E577A2"/>
    <w:rsid w:val="00E604BC"/>
    <w:rsid w:val="00E60A53"/>
    <w:rsid w:val="00E63940"/>
    <w:rsid w:val="00E72B76"/>
    <w:rsid w:val="00E733A5"/>
    <w:rsid w:val="00E753EC"/>
    <w:rsid w:val="00E7556E"/>
    <w:rsid w:val="00E8045F"/>
    <w:rsid w:val="00E824AA"/>
    <w:rsid w:val="00E831C7"/>
    <w:rsid w:val="00E84459"/>
    <w:rsid w:val="00E91C7B"/>
    <w:rsid w:val="00E930DD"/>
    <w:rsid w:val="00E94470"/>
    <w:rsid w:val="00E94550"/>
    <w:rsid w:val="00E971A2"/>
    <w:rsid w:val="00EA1044"/>
    <w:rsid w:val="00EA5EED"/>
    <w:rsid w:val="00EB2D32"/>
    <w:rsid w:val="00EB5E05"/>
    <w:rsid w:val="00EB71D6"/>
    <w:rsid w:val="00EB7C94"/>
    <w:rsid w:val="00EC0989"/>
    <w:rsid w:val="00EC3A0F"/>
    <w:rsid w:val="00EC4987"/>
    <w:rsid w:val="00EC4E16"/>
    <w:rsid w:val="00ED10A7"/>
    <w:rsid w:val="00ED1659"/>
    <w:rsid w:val="00ED257A"/>
    <w:rsid w:val="00EE133B"/>
    <w:rsid w:val="00EE5A85"/>
    <w:rsid w:val="00EF0A92"/>
    <w:rsid w:val="00EF1C83"/>
    <w:rsid w:val="00F04DC4"/>
    <w:rsid w:val="00F0584D"/>
    <w:rsid w:val="00F20AFD"/>
    <w:rsid w:val="00F22B3D"/>
    <w:rsid w:val="00F23052"/>
    <w:rsid w:val="00F23384"/>
    <w:rsid w:val="00F27E65"/>
    <w:rsid w:val="00F3057A"/>
    <w:rsid w:val="00F30E9C"/>
    <w:rsid w:val="00F35C33"/>
    <w:rsid w:val="00F4246C"/>
    <w:rsid w:val="00F43895"/>
    <w:rsid w:val="00F439D1"/>
    <w:rsid w:val="00F43F32"/>
    <w:rsid w:val="00F500D9"/>
    <w:rsid w:val="00F55E4D"/>
    <w:rsid w:val="00F61752"/>
    <w:rsid w:val="00F6259F"/>
    <w:rsid w:val="00F665FF"/>
    <w:rsid w:val="00F67F95"/>
    <w:rsid w:val="00F756F0"/>
    <w:rsid w:val="00F76463"/>
    <w:rsid w:val="00F85A06"/>
    <w:rsid w:val="00F90C4E"/>
    <w:rsid w:val="00F913A9"/>
    <w:rsid w:val="00F91E6F"/>
    <w:rsid w:val="00FC4D87"/>
    <w:rsid w:val="00FC7ADF"/>
    <w:rsid w:val="00FD0A98"/>
    <w:rsid w:val="00FD1A95"/>
    <w:rsid w:val="00FD4B92"/>
    <w:rsid w:val="00FD4C6C"/>
    <w:rsid w:val="00FD603E"/>
    <w:rsid w:val="00FD7B65"/>
    <w:rsid w:val="00FE4919"/>
    <w:rsid w:val="00FF0234"/>
    <w:rsid w:val="00FF0A38"/>
    <w:rsid w:val="00FF2E73"/>
    <w:rsid w:val="00FF4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7DF017-B86A-4D5D-91A9-E30219CA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D23B41"/>
    <w:pPr>
      <w:keepNext/>
      <w:jc w:val="both"/>
      <w:outlineLvl w:val="1"/>
    </w:pPr>
    <w:rPr>
      <w:rFonts w:ascii="Times New Roman" w:hAnsi="Times New Roman"/>
      <w:sz w:val="24"/>
      <w:lang w:val="x-none" w:eastAsia="en-US"/>
    </w:rPr>
  </w:style>
  <w:style w:type="paragraph" w:styleId="Heading3">
    <w:name w:val="heading 3"/>
    <w:basedOn w:val="Normal"/>
    <w:next w:val="Normal"/>
    <w:link w:val="Heading3Char"/>
    <w:qFormat/>
    <w:rsid w:val="00D23B41"/>
    <w:pPr>
      <w:keepNext/>
      <w:jc w:val="center"/>
      <w:outlineLvl w:val="2"/>
    </w:pPr>
    <w:rPr>
      <w:rFonts w:ascii="Times New Roman" w:hAnsi="Times New Roman"/>
      <w:sz w:val="24"/>
      <w:lang w:val="x-none" w:eastAsia="en-US"/>
    </w:rPr>
  </w:style>
  <w:style w:type="paragraph" w:styleId="Heading4">
    <w:name w:val="heading 4"/>
    <w:basedOn w:val="Normal"/>
    <w:next w:val="Normal"/>
    <w:link w:val="Heading4Char"/>
    <w:qFormat/>
    <w:rsid w:val="00D23B41"/>
    <w:pPr>
      <w:keepNext/>
      <w:jc w:val="both"/>
      <w:outlineLvl w:val="3"/>
    </w:pPr>
    <w:rPr>
      <w:rFonts w:ascii="Times New Roman" w:hAnsi="Times New Roman"/>
      <w:b/>
      <w:sz w:val="24"/>
      <w:lang w:eastAsia="en-US"/>
    </w:rPr>
  </w:style>
  <w:style w:type="paragraph" w:styleId="Heading5">
    <w:name w:val="heading 5"/>
    <w:basedOn w:val="Normal"/>
    <w:next w:val="Normal"/>
    <w:link w:val="Heading5Char"/>
    <w:rsid w:val="00D23B41"/>
    <w:pPr>
      <w:keepNext/>
      <w:jc w:val="both"/>
      <w:outlineLvl w:val="4"/>
    </w:pPr>
    <w:rPr>
      <w:rFonts w:ascii="Times New Roman" w:hAnsi="Times New Roman"/>
      <w:color w:val="0000FF"/>
      <w:sz w:val="24"/>
      <w:lang w:eastAsia="en-US"/>
    </w:rPr>
  </w:style>
  <w:style w:type="paragraph" w:styleId="Heading6">
    <w:name w:val="heading 6"/>
    <w:basedOn w:val="Normal"/>
    <w:next w:val="Normal"/>
    <w:link w:val="Heading6Char"/>
    <w:rsid w:val="00D23B41"/>
    <w:pPr>
      <w:keepNext/>
      <w:jc w:val="both"/>
      <w:outlineLvl w:val="5"/>
    </w:pPr>
    <w:rPr>
      <w:rFonts w:ascii="Times New Roman" w:hAnsi="Times New Roman"/>
      <w:color w:val="FF00FF"/>
      <w:sz w:val="24"/>
      <w:lang w:eastAsia="en-US"/>
    </w:rPr>
  </w:style>
  <w:style w:type="paragraph" w:styleId="Heading7">
    <w:name w:val="heading 7"/>
    <w:basedOn w:val="Normal"/>
    <w:next w:val="Normal"/>
    <w:link w:val="Heading7Char"/>
    <w:rsid w:val="00D23B41"/>
    <w:pPr>
      <w:spacing w:before="240" w:after="60"/>
      <w:jc w:val="both"/>
      <w:outlineLvl w:val="6"/>
    </w:pPr>
    <w:rPr>
      <w:rFonts w:ascii="Times New Roman" w:hAnsi="Times New Roman"/>
      <w:sz w:val="24"/>
      <w:szCs w:val="24"/>
    </w:rPr>
  </w:style>
  <w:style w:type="paragraph" w:styleId="Heading8">
    <w:name w:val="heading 8"/>
    <w:basedOn w:val="Normal"/>
    <w:next w:val="Normal"/>
    <w:link w:val="Heading8Char"/>
    <w:rsid w:val="00D23B41"/>
    <w:pPr>
      <w:spacing w:before="240" w:after="60"/>
      <w:jc w:val="both"/>
      <w:outlineLvl w:val="7"/>
    </w:pPr>
    <w:rPr>
      <w:rFonts w:ascii="Times New Roman" w:hAnsi="Times New Roman"/>
      <w:i/>
      <w:iCs/>
      <w:sz w:val="24"/>
      <w:szCs w:val="24"/>
    </w:rPr>
  </w:style>
  <w:style w:type="paragraph" w:styleId="Heading9">
    <w:name w:val="heading 9"/>
    <w:basedOn w:val="Normal"/>
    <w:next w:val="Normal"/>
    <w:link w:val="Heading9Char"/>
    <w:rsid w:val="00D23B41"/>
    <w:pPr>
      <w:keepNext/>
      <w:ind w:left="720" w:firstLine="720"/>
      <w:jc w:val="both"/>
      <w:outlineLvl w:val="8"/>
    </w:pPr>
    <w:rPr>
      <w:rFonts w:ascii="Times New Roman" w:hAnsi="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DF0088"/>
    <w:pPr>
      <w:jc w:val="both"/>
    </w:pPr>
    <w:rPr>
      <w:rFonts w:ascii="Times New Roman" w:hAnsi="Times New Roman"/>
      <w:sz w:val="24"/>
      <w:lang w:eastAsia="en-US"/>
    </w:rPr>
  </w:style>
  <w:style w:type="character" w:customStyle="1" w:styleId="BodyTextChar">
    <w:name w:val="Body Text Char"/>
    <w:basedOn w:val="DefaultParagraphFont"/>
    <w:link w:val="BodyText"/>
    <w:rsid w:val="00DF0088"/>
    <w:rPr>
      <w:sz w:val="24"/>
      <w:lang w:eastAsia="en-US"/>
    </w:rPr>
  </w:style>
  <w:style w:type="table" w:customStyle="1" w:styleId="TableGrid2">
    <w:name w:val="Table Grid2"/>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23B41"/>
    <w:rPr>
      <w:sz w:val="24"/>
      <w:lang w:val="x-none" w:eastAsia="en-US"/>
    </w:rPr>
  </w:style>
  <w:style w:type="character" w:customStyle="1" w:styleId="Heading3Char">
    <w:name w:val="Heading 3 Char"/>
    <w:basedOn w:val="DefaultParagraphFont"/>
    <w:link w:val="Heading3"/>
    <w:rsid w:val="00D23B41"/>
    <w:rPr>
      <w:sz w:val="24"/>
      <w:lang w:val="x-none" w:eastAsia="en-US"/>
    </w:rPr>
  </w:style>
  <w:style w:type="character" w:customStyle="1" w:styleId="Heading4Char">
    <w:name w:val="Heading 4 Char"/>
    <w:basedOn w:val="DefaultParagraphFont"/>
    <w:link w:val="Heading4"/>
    <w:rsid w:val="00D23B41"/>
    <w:rPr>
      <w:b/>
      <w:sz w:val="24"/>
      <w:lang w:eastAsia="en-US"/>
    </w:rPr>
  </w:style>
  <w:style w:type="character" w:customStyle="1" w:styleId="Heading5Char">
    <w:name w:val="Heading 5 Char"/>
    <w:basedOn w:val="DefaultParagraphFont"/>
    <w:link w:val="Heading5"/>
    <w:rsid w:val="00D23B41"/>
    <w:rPr>
      <w:color w:val="0000FF"/>
      <w:sz w:val="24"/>
      <w:lang w:eastAsia="en-US"/>
    </w:rPr>
  </w:style>
  <w:style w:type="character" w:customStyle="1" w:styleId="Heading6Char">
    <w:name w:val="Heading 6 Char"/>
    <w:basedOn w:val="DefaultParagraphFont"/>
    <w:link w:val="Heading6"/>
    <w:rsid w:val="00D23B41"/>
    <w:rPr>
      <w:color w:val="FF00FF"/>
      <w:sz w:val="24"/>
      <w:lang w:eastAsia="en-US"/>
    </w:rPr>
  </w:style>
  <w:style w:type="character" w:customStyle="1" w:styleId="Heading7Char">
    <w:name w:val="Heading 7 Char"/>
    <w:basedOn w:val="DefaultParagraphFont"/>
    <w:link w:val="Heading7"/>
    <w:rsid w:val="00D23B41"/>
    <w:rPr>
      <w:sz w:val="24"/>
      <w:szCs w:val="24"/>
    </w:rPr>
  </w:style>
  <w:style w:type="character" w:customStyle="1" w:styleId="Heading8Char">
    <w:name w:val="Heading 8 Char"/>
    <w:basedOn w:val="DefaultParagraphFont"/>
    <w:link w:val="Heading8"/>
    <w:rsid w:val="00D23B41"/>
    <w:rPr>
      <w:i/>
      <w:iCs/>
      <w:sz w:val="24"/>
      <w:szCs w:val="24"/>
    </w:rPr>
  </w:style>
  <w:style w:type="character" w:customStyle="1" w:styleId="Heading9Char">
    <w:name w:val="Heading 9 Char"/>
    <w:basedOn w:val="DefaultParagraphFont"/>
    <w:link w:val="Heading9"/>
    <w:rsid w:val="00D23B41"/>
    <w:rPr>
      <w:sz w:val="24"/>
      <w:u w:val="single"/>
      <w:lang w:eastAsia="en-US"/>
    </w:rPr>
  </w:style>
  <w:style w:type="numbering" w:customStyle="1" w:styleId="NoList1">
    <w:name w:val="No List1"/>
    <w:next w:val="NoList"/>
    <w:uiPriority w:val="99"/>
    <w:semiHidden/>
    <w:unhideWhenUsed/>
    <w:rsid w:val="00D23B41"/>
  </w:style>
  <w:style w:type="paragraph" w:styleId="BodyText2">
    <w:name w:val="Body Text 2"/>
    <w:basedOn w:val="Normal"/>
    <w:link w:val="BodyText2Char"/>
    <w:rsid w:val="00D23B41"/>
    <w:pPr>
      <w:spacing w:after="120" w:line="480" w:lineRule="auto"/>
      <w:jc w:val="both"/>
    </w:pPr>
  </w:style>
  <w:style w:type="character" w:customStyle="1" w:styleId="BodyText2Char">
    <w:name w:val="Body Text 2 Char"/>
    <w:basedOn w:val="DefaultParagraphFont"/>
    <w:link w:val="BodyText2"/>
    <w:rsid w:val="00D23B41"/>
    <w:rPr>
      <w:rFonts w:ascii="Arial" w:hAnsi="Arial"/>
      <w:sz w:val="22"/>
    </w:rPr>
  </w:style>
  <w:style w:type="paragraph" w:styleId="Subtitle">
    <w:name w:val="Subtitle"/>
    <w:basedOn w:val="Normal"/>
    <w:link w:val="SubtitleChar"/>
    <w:qFormat/>
    <w:rsid w:val="00D23B41"/>
    <w:pPr>
      <w:jc w:val="center"/>
    </w:pPr>
    <w:rPr>
      <w:rFonts w:ascii="Times New Roman" w:hAnsi="Times New Roman"/>
      <w:b/>
      <w:sz w:val="24"/>
      <w:lang w:val="x-none" w:eastAsia="en-US"/>
    </w:rPr>
  </w:style>
  <w:style w:type="character" w:customStyle="1" w:styleId="SubtitleChar">
    <w:name w:val="Subtitle Char"/>
    <w:basedOn w:val="DefaultParagraphFont"/>
    <w:link w:val="Subtitle"/>
    <w:rsid w:val="00D23B41"/>
    <w:rPr>
      <w:b/>
      <w:sz w:val="24"/>
      <w:lang w:val="x-none" w:eastAsia="en-US"/>
    </w:rPr>
  </w:style>
  <w:style w:type="character" w:styleId="CommentReference">
    <w:name w:val="annotation reference"/>
    <w:semiHidden/>
    <w:rsid w:val="00D23B41"/>
    <w:rPr>
      <w:sz w:val="16"/>
    </w:rPr>
  </w:style>
  <w:style w:type="paragraph" w:styleId="BodyText3">
    <w:name w:val="Body Text 3"/>
    <w:basedOn w:val="Normal"/>
    <w:link w:val="BodyText3Char"/>
    <w:rsid w:val="00D23B41"/>
    <w:pPr>
      <w:jc w:val="both"/>
    </w:pPr>
    <w:rPr>
      <w:rFonts w:ascii="Times New Roman" w:hAnsi="Times New Roman"/>
      <w:color w:val="000000"/>
      <w:sz w:val="24"/>
      <w:lang w:eastAsia="en-US"/>
    </w:rPr>
  </w:style>
  <w:style w:type="character" w:customStyle="1" w:styleId="BodyText3Char">
    <w:name w:val="Body Text 3 Char"/>
    <w:basedOn w:val="DefaultParagraphFont"/>
    <w:link w:val="BodyText3"/>
    <w:rsid w:val="00D23B41"/>
    <w:rPr>
      <w:color w:val="000000"/>
      <w:sz w:val="24"/>
      <w:lang w:eastAsia="en-US"/>
    </w:rPr>
  </w:style>
  <w:style w:type="paragraph" w:styleId="Title">
    <w:name w:val="Title"/>
    <w:basedOn w:val="Normal"/>
    <w:link w:val="TitleChar"/>
    <w:qFormat/>
    <w:rsid w:val="00D23B41"/>
    <w:pPr>
      <w:jc w:val="center"/>
    </w:pPr>
    <w:rPr>
      <w:b/>
      <w:sz w:val="28"/>
      <w:lang w:eastAsia="en-US"/>
    </w:rPr>
  </w:style>
  <w:style w:type="character" w:customStyle="1" w:styleId="TitleChar">
    <w:name w:val="Title Char"/>
    <w:basedOn w:val="DefaultParagraphFont"/>
    <w:link w:val="Title"/>
    <w:rsid w:val="00D23B41"/>
    <w:rPr>
      <w:rFonts w:ascii="Arial" w:hAnsi="Arial"/>
      <w:b/>
      <w:sz w:val="28"/>
      <w:lang w:eastAsia="en-US"/>
    </w:rPr>
  </w:style>
  <w:style w:type="paragraph" w:styleId="BodyTextIndent">
    <w:name w:val="Body Text Indent"/>
    <w:basedOn w:val="Normal"/>
    <w:link w:val="BodyTextIndentChar"/>
    <w:rsid w:val="00D23B41"/>
    <w:pPr>
      <w:spacing w:after="120"/>
      <w:ind w:left="283"/>
      <w:jc w:val="both"/>
    </w:pPr>
    <w:rPr>
      <w:sz w:val="20"/>
      <w:lang w:val="x-none" w:eastAsia="en-US"/>
    </w:rPr>
  </w:style>
  <w:style w:type="character" w:customStyle="1" w:styleId="BodyTextIndentChar">
    <w:name w:val="Body Text Indent Char"/>
    <w:basedOn w:val="DefaultParagraphFont"/>
    <w:link w:val="BodyTextIndent"/>
    <w:rsid w:val="00D23B41"/>
    <w:rPr>
      <w:rFonts w:ascii="Arial" w:hAnsi="Arial"/>
      <w:lang w:val="x-none" w:eastAsia="en-US"/>
    </w:rPr>
  </w:style>
  <w:style w:type="paragraph" w:styleId="NormalWeb">
    <w:name w:val="Normal (Web)"/>
    <w:basedOn w:val="Normal"/>
    <w:rsid w:val="00D23B41"/>
    <w:pPr>
      <w:spacing w:before="100" w:beforeAutospacing="1" w:after="100" w:afterAutospacing="1"/>
      <w:jc w:val="both"/>
    </w:pPr>
    <w:rPr>
      <w:rFonts w:ascii="Times New Roman" w:hAnsi="Times New Roman"/>
      <w:sz w:val="24"/>
      <w:szCs w:val="24"/>
      <w:lang w:val="en-US" w:eastAsia="en-US"/>
    </w:rPr>
  </w:style>
  <w:style w:type="paragraph" w:customStyle="1" w:styleId="CharChar">
    <w:name w:val="Char Char"/>
    <w:basedOn w:val="Normal"/>
    <w:rsid w:val="00D23B41"/>
    <w:pPr>
      <w:spacing w:after="160" w:line="240" w:lineRule="exact"/>
      <w:jc w:val="both"/>
    </w:pPr>
    <w:rPr>
      <w:rFonts w:ascii="Verdana" w:hAnsi="Verdana"/>
      <w:sz w:val="20"/>
      <w:lang w:val="en-US" w:eastAsia="en-US"/>
    </w:rPr>
  </w:style>
  <w:style w:type="paragraph" w:customStyle="1" w:styleId="CharCharCharCharCharChar">
    <w:name w:val="Char Char Char Char Char Char"/>
    <w:basedOn w:val="Normal"/>
    <w:rsid w:val="00D23B41"/>
    <w:pPr>
      <w:spacing w:after="160" w:line="240" w:lineRule="exact"/>
      <w:jc w:val="both"/>
    </w:pPr>
    <w:rPr>
      <w:rFonts w:ascii="Verdana" w:hAnsi="Verdana"/>
      <w:sz w:val="20"/>
      <w:lang w:val="en-US" w:eastAsia="en-US"/>
    </w:rPr>
  </w:style>
  <w:style w:type="character" w:customStyle="1" w:styleId="Heading1Char">
    <w:name w:val="Heading 1 Char"/>
    <w:link w:val="Heading1"/>
    <w:rsid w:val="00D23B41"/>
    <w:rPr>
      <w:rFonts w:ascii="Arial" w:hAnsi="Arial"/>
      <w:b/>
      <w:sz w:val="22"/>
    </w:rPr>
  </w:style>
  <w:style w:type="character" w:customStyle="1" w:styleId="HeaderChar">
    <w:name w:val="Header Char"/>
    <w:link w:val="Header"/>
    <w:uiPriority w:val="99"/>
    <w:rsid w:val="00D23B41"/>
    <w:rPr>
      <w:rFonts w:ascii="Arial" w:hAnsi="Arial"/>
      <w:sz w:val="22"/>
    </w:rPr>
  </w:style>
  <w:style w:type="table" w:customStyle="1" w:styleId="TableGrid1">
    <w:name w:val="Table Grid1"/>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5917"/>
  </w:style>
  <w:style w:type="paragraph" w:styleId="CommentText">
    <w:name w:val="annotation text"/>
    <w:basedOn w:val="Normal"/>
    <w:link w:val="CommentTextChar"/>
    <w:uiPriority w:val="99"/>
    <w:semiHidden/>
    <w:unhideWhenUsed/>
    <w:rsid w:val="00A45392"/>
    <w:rPr>
      <w:sz w:val="24"/>
      <w:szCs w:val="24"/>
    </w:rPr>
  </w:style>
  <w:style w:type="character" w:customStyle="1" w:styleId="CommentTextChar">
    <w:name w:val="Comment Text Char"/>
    <w:basedOn w:val="DefaultParagraphFont"/>
    <w:link w:val="CommentText"/>
    <w:uiPriority w:val="99"/>
    <w:semiHidden/>
    <w:rsid w:val="00A4539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A45392"/>
    <w:rPr>
      <w:b/>
      <w:bCs/>
      <w:sz w:val="20"/>
      <w:szCs w:val="20"/>
    </w:rPr>
  </w:style>
  <w:style w:type="character" w:customStyle="1" w:styleId="CommentSubjectChar">
    <w:name w:val="Comment Subject Char"/>
    <w:basedOn w:val="CommentTextChar"/>
    <w:link w:val="CommentSubject"/>
    <w:uiPriority w:val="99"/>
    <w:semiHidden/>
    <w:rsid w:val="00A45392"/>
    <w:rPr>
      <w:rFonts w:ascii="Arial" w:hAnsi="Arial"/>
      <w:b/>
      <w:bCs/>
      <w:sz w:val="24"/>
      <w:szCs w:val="24"/>
    </w:rPr>
  </w:style>
  <w:style w:type="paragraph" w:customStyle="1" w:styleId="Default">
    <w:name w:val="Default"/>
    <w:rsid w:val="000560BC"/>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15774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476">
      <w:bodyDiv w:val="1"/>
      <w:marLeft w:val="0"/>
      <w:marRight w:val="0"/>
      <w:marTop w:val="0"/>
      <w:marBottom w:val="0"/>
      <w:divBdr>
        <w:top w:val="none" w:sz="0" w:space="0" w:color="auto"/>
        <w:left w:val="none" w:sz="0" w:space="0" w:color="auto"/>
        <w:bottom w:val="none" w:sz="0" w:space="0" w:color="auto"/>
        <w:right w:val="none" w:sz="0" w:space="0" w:color="auto"/>
      </w:divBdr>
    </w:div>
    <w:div w:id="138882032">
      <w:bodyDiv w:val="1"/>
      <w:marLeft w:val="0"/>
      <w:marRight w:val="0"/>
      <w:marTop w:val="0"/>
      <w:marBottom w:val="0"/>
      <w:divBdr>
        <w:top w:val="none" w:sz="0" w:space="0" w:color="auto"/>
        <w:left w:val="none" w:sz="0" w:space="0" w:color="auto"/>
        <w:bottom w:val="none" w:sz="0" w:space="0" w:color="auto"/>
        <w:right w:val="none" w:sz="0" w:space="0" w:color="auto"/>
      </w:divBdr>
    </w:div>
    <w:div w:id="153567270">
      <w:bodyDiv w:val="1"/>
      <w:marLeft w:val="0"/>
      <w:marRight w:val="0"/>
      <w:marTop w:val="0"/>
      <w:marBottom w:val="0"/>
      <w:divBdr>
        <w:top w:val="none" w:sz="0" w:space="0" w:color="auto"/>
        <w:left w:val="none" w:sz="0" w:space="0" w:color="auto"/>
        <w:bottom w:val="none" w:sz="0" w:space="0" w:color="auto"/>
        <w:right w:val="none" w:sz="0" w:space="0" w:color="auto"/>
      </w:divBdr>
    </w:div>
    <w:div w:id="180318779">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26929232">
      <w:bodyDiv w:val="1"/>
      <w:marLeft w:val="0"/>
      <w:marRight w:val="0"/>
      <w:marTop w:val="0"/>
      <w:marBottom w:val="0"/>
      <w:divBdr>
        <w:top w:val="none" w:sz="0" w:space="0" w:color="auto"/>
        <w:left w:val="none" w:sz="0" w:space="0" w:color="auto"/>
        <w:bottom w:val="none" w:sz="0" w:space="0" w:color="auto"/>
        <w:right w:val="none" w:sz="0" w:space="0" w:color="auto"/>
      </w:divBdr>
    </w:div>
    <w:div w:id="693923139">
      <w:bodyDiv w:val="1"/>
      <w:marLeft w:val="0"/>
      <w:marRight w:val="0"/>
      <w:marTop w:val="0"/>
      <w:marBottom w:val="0"/>
      <w:divBdr>
        <w:top w:val="none" w:sz="0" w:space="0" w:color="auto"/>
        <w:left w:val="none" w:sz="0" w:space="0" w:color="auto"/>
        <w:bottom w:val="none" w:sz="0" w:space="0" w:color="auto"/>
        <w:right w:val="none" w:sz="0" w:space="0" w:color="auto"/>
      </w:divBdr>
    </w:div>
    <w:div w:id="702678263">
      <w:bodyDiv w:val="1"/>
      <w:marLeft w:val="0"/>
      <w:marRight w:val="0"/>
      <w:marTop w:val="0"/>
      <w:marBottom w:val="0"/>
      <w:divBdr>
        <w:top w:val="none" w:sz="0" w:space="0" w:color="auto"/>
        <w:left w:val="none" w:sz="0" w:space="0" w:color="auto"/>
        <w:bottom w:val="none" w:sz="0" w:space="0" w:color="auto"/>
        <w:right w:val="none" w:sz="0" w:space="0" w:color="auto"/>
      </w:divBdr>
    </w:div>
    <w:div w:id="1372069108">
      <w:bodyDiv w:val="1"/>
      <w:marLeft w:val="0"/>
      <w:marRight w:val="0"/>
      <w:marTop w:val="0"/>
      <w:marBottom w:val="0"/>
      <w:divBdr>
        <w:top w:val="none" w:sz="0" w:space="0" w:color="auto"/>
        <w:left w:val="none" w:sz="0" w:space="0" w:color="auto"/>
        <w:bottom w:val="none" w:sz="0" w:space="0" w:color="auto"/>
        <w:right w:val="none" w:sz="0" w:space="0" w:color="auto"/>
      </w:divBdr>
    </w:div>
    <w:div w:id="1645086672">
      <w:bodyDiv w:val="1"/>
      <w:marLeft w:val="0"/>
      <w:marRight w:val="0"/>
      <w:marTop w:val="0"/>
      <w:marBottom w:val="0"/>
      <w:divBdr>
        <w:top w:val="none" w:sz="0" w:space="0" w:color="auto"/>
        <w:left w:val="none" w:sz="0" w:space="0" w:color="auto"/>
        <w:bottom w:val="none" w:sz="0" w:space="0" w:color="auto"/>
        <w:right w:val="none" w:sz="0" w:space="0" w:color="auto"/>
      </w:divBdr>
    </w:div>
    <w:div w:id="18062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F2DF-D4E2-46DB-B203-2471526D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18</Pages>
  <Words>5090</Words>
  <Characters>27709</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2019-05-31T08:13:00Z</cp:lastPrinted>
  <dcterms:created xsi:type="dcterms:W3CDTF">2019-06-10T09:45:00Z</dcterms:created>
  <dcterms:modified xsi:type="dcterms:W3CDTF">2019-06-10T09:45:00Z</dcterms:modified>
</cp:coreProperties>
</file>